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b0df12754bad6f247b9aeec26962b6fb6f2a331"/>
    <w:p>
      <w:pPr>
        <w:pStyle w:val="Heading1"/>
      </w:pPr>
      <w:r>
        <w:t xml:space="preserve">Updated BRD and deep-research conclusions</w:t>
      </w:r>
    </w:p>
    <w:p>
      <w:pPr>
        <w:pStyle w:val="FirstParagraph"/>
      </w:pPr>
      <w:r>
        <w:t xml:space="preserve">Updated files:</w:t>
      </w:r>
    </w:p>
    <w:p>
      <w:pPr>
        <w:pStyle w:val="BodyText"/>
      </w:pPr>
      <w:hyperlink r:id="rId21">
        <w:r>
          <w:rPr>
            <w:rStyle w:val="Hyperlink"/>
          </w:rPr>
          <w:t xml:space="preserve">Enhanced BRD in DOCX format</w:t>
        </w:r>
      </w:hyperlink>
    </w:p>
    <w:p>
      <w:pPr>
        <w:pStyle w:val="BodyText"/>
      </w:pPr>
      <w:hyperlink r:id="rId22">
        <w:r>
          <w:rPr>
            <w:rStyle w:val="Hyperlink"/>
          </w:rPr>
          <w:t xml:space="preserve">Enhanced BRD in PDF format</w:t>
        </w:r>
      </w:hyperlink>
    </w:p>
    <w:bookmarkStart w:id="25" w:name="what-the-revised-brd-now-concludes"/>
    <w:p>
      <w:pPr>
        <w:pStyle w:val="Heading2"/>
      </w:pPr>
      <w:r>
        <w:t xml:space="preserve">What the revised BRD now concludes</w:t>
      </w:r>
    </w:p>
    <w:p>
      <w:pPr>
        <w:pStyle w:val="FirstParagraph"/>
      </w:pPr>
      <w:r>
        <w:t xml:space="preserve">The revised BRD takes a firmer technical position:</w:t>
      </w:r>
      <w:r>
        <w:t xml:space="preserve"> </w:t>
      </w:r>
      <w:r>
        <w:rPr>
          <w:b/>
          <w:bCs/>
        </w:rPr>
        <w:t xml:space="preserve">a single installer is possible and advisable</w:t>
      </w:r>
      <w:r>
        <w:t xml:space="preserve">, but the right architecture is a</w:t>
      </w:r>
      <w:r>
        <w:t xml:space="preserve"> </w:t>
      </w:r>
      <w:r>
        <w:rPr>
          <w:b/>
          <w:bCs/>
        </w:rPr>
        <w:t xml:space="preserve">single signed bootstrap bundle</w:t>
      </w:r>
      <w:r>
        <w:t xml:space="preserve"> </w:t>
      </w:r>
      <w:r>
        <w:t xml:space="preserve">that installs a governed stack of pinned payloads, not a loose sequence of separate manual installs. That position is supported by WiX Burn’s native bundle-and-package chain model, the narrower service-packaging envelope of MSIX, and Windows Installer’s rollback behaviour, which helps for packaged changes but does not fully protect service-level or system-level custom actions unless you design explicit rollback and restore routines.</w:t>
      </w:r>
      <w:r>
        <w:t xml:space="preserve"> </w:t>
      </w:r>
      <w:hyperlink r:id="rId23">
        <w:r>
          <w:rPr>
            <w:rStyle w:val="Hyperlink"/>
          </w:rPr>
          <w:t xml:space="preserve">[1]</w:t>
        </w:r>
      </w:hyperlink>
    </w:p>
    <w:p>
      <w:pPr>
        <w:pStyle w:val="BodyText"/>
      </w:pPr>
      <w:r>
        <w:t xml:space="preserve">The BRD also now explicitly addresses version coherence across the whole appliance. It recommends treating each release as a</w:t>
      </w:r>
      <w:r>
        <w:t xml:space="preserve"> </w:t>
      </w:r>
      <w:r>
        <w:rPr>
          <w:b/>
          <w:bCs/>
        </w:rPr>
        <w:t xml:space="preserve">stack release</w:t>
      </w:r>
      <w:r>
        <w:t xml:space="preserve"> </w:t>
      </w:r>
      <w:r>
        <w:t xml:space="preserve">that pins the ERP build, .NET publish mode, MySQL version, Redis-for-Windows implementation, Kafka version, JDK version, schema version, sync protocol version, and backup-manifest version. That is especially important because framework-dependent .NET deployments can roll forward to a newer installed runtime, while self-contained publishes package the runtime with the app; MySQL on Windows can be delivered via MSI or ZIP archive; Redis’s official Windows path now points to Memurai; and Kafka major lines impose their own compatibility and Java requirements.</w:t>
      </w:r>
      <w:r>
        <w:t xml:space="preserve"> </w:t>
      </w:r>
      <w:hyperlink r:id="rId24">
        <w:r>
          <w:rPr>
            <w:rStyle w:val="Hyperlink"/>
          </w:rPr>
          <w:t xml:space="preserve">[2]</w:t>
        </w:r>
      </w:hyperlink>
    </w:p>
    <w:bookmarkEnd w:id="25"/>
    <w:bookmarkStart w:id="27" w:name="X186f848ade0082db814d89d2a2be3482a1d1da3"/>
    <w:p>
      <w:pPr>
        <w:pStyle w:val="Heading2"/>
      </w:pPr>
      <w:r>
        <w:t xml:space="preserve">The main design changes now built into the BRD</w:t>
      </w:r>
    </w:p>
    <w:p>
      <w:pPr>
        <w:pStyle w:val="FirstParagraph"/>
      </w:pPr>
      <w:r>
        <w:t xml:space="preserve">The updated document now recommends</w:t>
      </w:r>
      <w:r>
        <w:t xml:space="preserve"> </w:t>
      </w:r>
      <w:r>
        <w:rPr>
          <w:b/>
          <w:bCs/>
        </w:rPr>
        <w:t xml:space="preserve">WiX Burn or an equivalent enterprise bootstrapper</w:t>
      </w:r>
      <w:r>
        <w:t xml:space="preserve"> </w:t>
      </w:r>
      <w:r>
        <w:t xml:space="preserve">as the outer packaging layer, with the ERP published as</w:t>
      </w:r>
      <w:r>
        <w:t xml:space="preserve"> </w:t>
      </w:r>
      <w:r>
        <w:rPr>
          <w:b/>
          <w:bCs/>
        </w:rPr>
        <w:t xml:space="preserve">self-contained win-x64</w:t>
      </w:r>
      <w:r>
        <w:t xml:space="preserve"> </w:t>
      </w:r>
      <w:r>
        <w:t xml:space="preserve">services to reduce runtime drift across field sites. It also recommends that MySQL be provisioned in a tightly controlled offline manner, including its required VC++ redistributable on Windows, and that Redis on Windows be standardised around the officially endorsed Windows-native direction rather than older unofficial ports. For Kafka, the BRD now treats it as a managed local eventing component whose version, mode, and JDK are pinned per release rather than left to ad hoc site-level upgrade decisions.</w:t>
      </w:r>
      <w:r>
        <w:t xml:space="preserve"> </w:t>
      </w:r>
      <w:hyperlink r:id="rId23">
        <w:r>
          <w:rPr>
            <w:rStyle w:val="Hyperlink"/>
          </w:rPr>
          <w:t xml:space="preserve">[3]</w:t>
        </w:r>
      </w:hyperlink>
    </w:p>
    <w:p>
      <w:pPr>
        <w:pStyle w:val="BodyText"/>
      </w:pPr>
      <w:r>
        <w:t xml:space="preserve">The revised BRD also now separates</w:t>
      </w:r>
      <w:r>
        <w:t xml:space="preserve"> </w:t>
      </w:r>
      <w:r>
        <w:rPr>
          <w:b/>
          <w:bCs/>
        </w:rPr>
        <w:t xml:space="preserve">replaceable binaries</w:t>
      </w:r>
      <w:r>
        <w:t xml:space="preserve"> </w:t>
      </w:r>
      <w:r>
        <w:t xml:space="preserve">from</w:t>
      </w:r>
      <w:r>
        <w:t xml:space="preserve"> </w:t>
      </w:r>
      <w:r>
        <w:rPr>
          <w:b/>
          <w:bCs/>
        </w:rPr>
        <w:t xml:space="preserve">durable site data</w:t>
      </w:r>
      <w:r>
        <w:t xml:space="preserve">. It specifies a persistent data root under either a mounted data folder or</w:t>
      </w:r>
      <w:r>
        <w:t xml:space="preserve"> </w:t>
      </w:r>
      <w:r>
        <w:rPr>
          <w:rStyle w:val="VerbatimChar"/>
        </w:rPr>
        <w:t xml:space="preserve">ProgramData</w:t>
      </w:r>
      <w:r>
        <w:t xml:space="preserve">, with fixed subpaths for MySQL data, Redis persistence, Kafka logs and metadata, attachments, outbox/inbox state, keys, diagnostics, and backups. That change is deliberate: Windows supports mounted folders that let a separate volume appear under a stable folder path, and both MySQL and Kafka expose explicit configuration for their data directories, while Redis persistence relies on named on-disk persistence locations such as AOF directories. This separation is the core mechanism that lets new installations and side-by-side upgrades leave durable state intact.</w:t>
      </w:r>
      <w:r>
        <w:t xml:space="preserve"> </w:t>
      </w:r>
      <w:hyperlink r:id="rId26">
        <w:r>
          <w:rPr>
            <w:rStyle w:val="Hyperlink"/>
          </w:rPr>
          <w:t xml:space="preserve">[4]</w:t>
        </w:r>
      </w:hyperlink>
    </w:p>
    <w:bookmarkEnd w:id="27"/>
    <w:bookmarkStart w:id="30" w:name="X65281e473f96ae4ab37f4fa3779e2cbe08bdf26"/>
    <w:p>
      <w:pPr>
        <w:pStyle w:val="Heading2"/>
      </w:pPr>
      <w:r>
        <w:t xml:space="preserve">The stronger position on tamper resistance and encryption</w:t>
      </w:r>
    </w:p>
    <w:p>
      <w:pPr>
        <w:pStyle w:val="FirstParagraph"/>
      </w:pPr>
      <w:r>
        <w:t xml:space="preserve">The BRD now treats “without tampering” as a</w:t>
      </w:r>
      <w:r>
        <w:t xml:space="preserve"> </w:t>
      </w:r>
      <w:r>
        <w:rPr>
          <w:b/>
          <w:bCs/>
        </w:rPr>
        <w:t xml:space="preserve">tamper-resistant and tamper-evident</w:t>
      </w:r>
      <w:r>
        <w:t xml:space="preserve"> </w:t>
      </w:r>
      <w:r>
        <w:t xml:space="preserve">requirement rather than an absolute guarantee. In practice, that means Authenticode signing of installers and support tools, time stamping of signatures, pre-install hash verification of every internal payload, BitLocker on the durable data volume, file-system ACL lockdown for key material and database directories, encrypted backup archives, and signed manifests for release and backup packages. Those are the controls Windows and the component stack can support reliably in an offline estate.</w:t>
      </w:r>
      <w:r>
        <w:t xml:space="preserve"> </w:t>
      </w:r>
      <w:hyperlink r:id="rId28">
        <w:r>
          <w:rPr>
            <w:rStyle w:val="Hyperlink"/>
          </w:rPr>
          <w:t xml:space="preserve">[5]</w:t>
        </w:r>
      </w:hyperlink>
    </w:p>
    <w:p>
      <w:pPr>
        <w:pStyle w:val="BodyText"/>
      </w:pPr>
      <w:r>
        <w:t xml:space="preserve">The revised document also now draws an important line between</w:t>
      </w:r>
      <w:r>
        <w:t xml:space="preserve"> </w:t>
      </w:r>
      <w:r>
        <w:rPr>
          <w:b/>
          <w:bCs/>
        </w:rPr>
        <w:t xml:space="preserve">machine-local secret protection</w:t>
      </w:r>
      <w:r>
        <w:t xml:space="preserve"> </w:t>
      </w:r>
      <w:r>
        <w:t xml:space="preserve">and</w:t>
      </w:r>
      <w:r>
        <w:t xml:space="preserve"> </w:t>
      </w:r>
      <w:r>
        <w:rPr>
          <w:b/>
          <w:bCs/>
        </w:rPr>
        <w:t xml:space="preserve">portable recovery</w:t>
      </w:r>
      <w:r>
        <w:t xml:space="preserve">. Microsoft’s DPAPI is suitable when data will only ever be decrypted on the same machine and user context, but that is a poor fit for machine replacement or restore-to-new-host scenarios. Because your requirement explicitly includes exporting data securely and importing it into a new installation seamlessly, the BRD now recommends persisting the ASP.NET Core Data Protection key ring under the durable data root and protecting it with a certificate-backed scheme for portability, while still using strict file permissions and at-rest encryption.</w:t>
      </w:r>
      <w:r>
        <w:t xml:space="preserve"> </w:t>
      </w:r>
      <w:hyperlink r:id="rId29">
        <w:r>
          <w:rPr>
            <w:rStyle w:val="Hyperlink"/>
          </w:rPr>
          <w:t xml:space="preserve">[6]</w:t>
        </w:r>
      </w:hyperlink>
    </w:p>
    <w:bookmarkEnd w:id="30"/>
    <w:bookmarkStart w:id="33" w:name="Xd6bcce801d3ac406dfdc3a5b33177463c3c4cf2"/>
    <w:p>
      <w:pPr>
        <w:pStyle w:val="Heading2"/>
      </w:pPr>
      <w:r>
        <w:t xml:space="preserve">The revised backup, restore, and upgrade model</w:t>
      </w:r>
    </w:p>
    <w:p>
      <w:pPr>
        <w:pStyle w:val="FirstParagraph"/>
      </w:pPr>
      <w:r>
        <w:t xml:space="preserve">The updated BRD now makes</w:t>
      </w:r>
      <w:r>
        <w:t xml:space="preserve"> </w:t>
      </w:r>
      <w:r>
        <w:rPr>
          <w:b/>
          <w:bCs/>
        </w:rPr>
        <w:t xml:space="preserve">backup-before-upgrade mandatory</w:t>
      </w:r>
      <w:r>
        <w:t xml:space="preserve"> </w:t>
      </w:r>
      <w:r>
        <w:t xml:space="preserve">and defines two supported export paths. The baseline path is a logical MySQL export with</w:t>
      </w:r>
      <w:r>
        <w:t xml:space="preserve"> </w:t>
      </w:r>
      <w:r>
        <w:rPr>
          <w:rStyle w:val="VerbatimChar"/>
        </w:rPr>
        <w:t xml:space="preserve">mysqldump</w:t>
      </w:r>
      <w:r>
        <w:t xml:space="preserve">, which MySQL documents as reloadable through the</w:t>
      </w:r>
      <w:r>
        <w:t xml:space="preserve"> </w:t>
      </w:r>
      <w:r>
        <w:rPr>
          <w:rStyle w:val="VerbatimChar"/>
        </w:rPr>
        <w:t xml:space="preserve">mysql</w:t>
      </w:r>
      <w:r>
        <w:t xml:space="preserve"> </w:t>
      </w:r>
      <w:r>
        <w:t xml:space="preserve">client and suitable for recreating dumped objects and data. The scaled path is MySQL Shell dump/load, which supports local-file exports, parallel dumping, compression, and reloading through</w:t>
      </w:r>
      <w:r>
        <w:t xml:space="preserve"> </w:t>
      </w:r>
      <w:r>
        <w:rPr>
          <w:rStyle w:val="VerbatimChar"/>
        </w:rPr>
        <w:t xml:space="preserve">util.loadDump()</w:t>
      </w:r>
      <w:r>
        <w:t xml:space="preserve">. The document also now requires running MySQL Upgrade Checker before version transition, and it elevates</w:t>
      </w:r>
      <w:r>
        <w:t xml:space="preserve"> </w:t>
      </w:r>
      <w:r>
        <w:rPr>
          <w:b/>
          <w:bCs/>
        </w:rPr>
        <w:t xml:space="preserve">side-by-side install plus import</w:t>
      </w:r>
      <w:r>
        <w:t xml:space="preserve"> </w:t>
      </w:r>
      <w:r>
        <w:t xml:space="preserve">to the preferred path for major upgrades or higher-risk migrations.</w:t>
      </w:r>
      <w:r>
        <w:t xml:space="preserve"> </w:t>
      </w:r>
      <w:hyperlink r:id="rId31">
        <w:r>
          <w:rPr>
            <w:rStyle w:val="Hyperlink"/>
          </w:rPr>
          <w:t xml:space="preserve">[7]</w:t>
        </w:r>
      </w:hyperlink>
    </w:p>
    <w:p>
      <w:pPr>
        <w:pStyle w:val="BodyText"/>
      </w:pPr>
      <w:r>
        <w:t xml:space="preserve">The BRD now also distinguishes between data that must be treated as durable and data that should not be the sole recovery anchor. MySQL business data, configuration state, attachments, key material, and sync checkpoints are treated as durable. Redis persistence can be retained if business use requires it, but if Redis is acting as cache, rebuild-on-restore is cleaner. Kafka is explicitly</w:t>
      </w:r>
      <w:r>
        <w:t xml:space="preserve"> </w:t>
      </w:r>
      <w:r>
        <w:rPr>
          <w:b/>
          <w:bCs/>
        </w:rPr>
        <w:t xml:space="preserve">not</w:t>
      </w:r>
      <w:r>
        <w:t xml:space="preserve"> </w:t>
      </w:r>
      <w:r>
        <w:t xml:space="preserve">treated as the only durable recovery source. That conclusion is tied to Kafka’s storage and compatibility model:</w:t>
      </w:r>
      <w:r>
        <w:t xml:space="preserve"> </w:t>
      </w:r>
      <w:r>
        <w:rPr>
          <w:rStyle w:val="VerbatimChar"/>
        </w:rPr>
        <w:t xml:space="preserve">log.dirs</w:t>
      </w:r>
      <w:r>
        <w:t xml:space="preserve"> </w:t>
      </w:r>
      <w:r>
        <w:t xml:space="preserve">and</w:t>
      </w:r>
      <w:r>
        <w:t xml:space="preserve"> </w:t>
      </w:r>
      <w:r>
        <w:rPr>
          <w:rStyle w:val="VerbatimChar"/>
        </w:rPr>
        <w:t xml:space="preserve">metadata.log.dir</w:t>
      </w:r>
      <w:r>
        <w:t xml:space="preserve"> </w:t>
      </w:r>
      <w:r>
        <w:t xml:space="preserve">are separately managed, Kafka 4.x requires stronger Java and cluster-mode discipline, and KRaft storage handling is sensitive enough that starting against empty storage can create real metadata-loss risk if handled carelessly.</w:t>
      </w:r>
      <w:r>
        <w:t xml:space="preserve"> </w:t>
      </w:r>
      <w:hyperlink r:id="rId32">
        <w:r>
          <w:rPr>
            <w:rStyle w:val="Hyperlink"/>
          </w:rPr>
          <w:t xml:space="preserve">[8]</w:t>
        </w:r>
      </w:hyperlink>
    </w:p>
    <w:bookmarkEnd w:id="33"/>
    <w:bookmarkStart w:id="36" w:name="the-revised-nldr-synchronisation-design"/>
    <w:p>
      <w:pPr>
        <w:pStyle w:val="Heading2"/>
      </w:pPr>
      <w:r>
        <w:t xml:space="preserve">The revised NLDR synchronisation design</w:t>
      </w:r>
    </w:p>
    <w:p>
      <w:pPr>
        <w:pStyle w:val="FirstParagraph"/>
      </w:pPr>
      <w:r>
        <w:t xml:space="preserve">The enhanced BRD now moves NLDR synchronisation onto a more resilient</w:t>
      </w:r>
      <w:r>
        <w:t xml:space="preserve"> </w:t>
      </w:r>
      <w:r>
        <w:rPr>
          <w:b/>
          <w:bCs/>
        </w:rPr>
        <w:t xml:space="preserve">offline-first outbox/inbox model</w:t>
      </w:r>
      <w:r>
        <w:t xml:space="preserve">. The recommendation is that each business transaction writes to MySQL and to a durable outbox table in the same local transaction. A dedicated Sync Agent then reads the outbox and synchronises to NLDR when the PACS site is online again. Retries, circuit breaking, dead-letter handling, and checkpoint persistence are part of the design, and the checkpoints are stored in MySQL rather than only in Redis or Kafka state. That recommendation is grounded in well-established messaging patterns: transient-failure retry should be explicit and logged, retry storms must be avoided, duplicated messages must be handled idempotently, and bridge-style asynchronous integration is preferable when two systems are loosely connected and come online at different times.</w:t>
      </w:r>
      <w:r>
        <w:t xml:space="preserve"> </w:t>
      </w:r>
      <w:hyperlink r:id="rId34">
        <w:r>
          <w:rPr>
            <w:rStyle w:val="Hyperlink"/>
          </w:rPr>
          <w:t xml:space="preserve">[9]</w:t>
        </w:r>
      </w:hyperlink>
    </w:p>
    <w:p>
      <w:pPr>
        <w:pStyle w:val="BodyText"/>
      </w:pPr>
      <w:r>
        <w:t xml:space="preserve">That means the BRD now treats Kafka as a useful</w:t>
      </w:r>
      <w:r>
        <w:t xml:space="preserve"> </w:t>
      </w:r>
      <w:r>
        <w:rPr>
          <w:b/>
          <w:bCs/>
        </w:rPr>
        <w:t xml:space="preserve">local transport and decoupling layer</w:t>
      </w:r>
      <w:r>
        <w:t xml:space="preserve">, but not as the authoritative continuity ledger for NLDR exchange. The durable anchor for business continuity is MySQL. This is the design choice that best matches your requirement that a site can be reinstalled, restored, and synchronised later without losing the ability to resume outbound data transfer safely.</w:t>
      </w:r>
      <w:r>
        <w:t xml:space="preserve"> </w:t>
      </w:r>
      <w:hyperlink r:id="rId35">
        <w:r>
          <w:rPr>
            <w:rStyle w:val="Hyperlink"/>
          </w:rPr>
          <w:t xml:space="preserve">[10]</w:t>
        </w:r>
      </w:hyperlink>
    </w:p>
    <w:bookmarkEnd w:id="36"/>
    <w:bookmarkStart w:id="37" w:name="Xb18400d7a63e27ffde05c5c9539ec9b2a892add"/>
    <w:p>
      <w:pPr>
        <w:pStyle w:val="Heading2"/>
      </w:pPr>
      <w:r>
        <w:t xml:space="preserve">What is now included in the downloadable BRD</w:t>
      </w:r>
    </w:p>
    <w:p>
      <w:pPr>
        <w:pStyle w:val="FirstParagraph"/>
      </w:pPr>
      <w:r>
        <w:t xml:space="preserve">The updated BRD now includes a clearer problem statement, a stronger packaging decision, a mounted-folder and persistent-data strategy, a more explicit anti-tamper and encryption section, a fuller backup/restore/upgrade design, a more durable NLDR sync model, detailed functional and non-functional requirements, example manifest structures, and a</w:t>
      </w:r>
      <w:r>
        <w:t xml:space="preserve"> </w:t>
      </w:r>
      <w:r>
        <w:rPr>
          <w:b/>
          <w:bCs/>
        </w:rPr>
        <w:t xml:space="preserve">substantially expanded Cursor prompt</w:t>
      </w:r>
      <w:r>
        <w:t xml:space="preserve"> </w:t>
      </w:r>
      <w:r>
        <w:t xml:space="preserve">that instructs Cursor to generate the installer as a governed Windows appliance rather than a basic setup script. The document is written in British English and is structured so it can be used both as a business-facing BRD and as a technical direction document for engineering implementation.</w:t>
      </w:r>
    </w:p>
    <w:bookmarkEnd w:id="37"/>
    <w:bookmarkStart w:id="38" w:name="open-questions-and-limitations"/>
    <w:p>
      <w:pPr>
        <w:pStyle w:val="Heading2"/>
      </w:pPr>
      <w:r>
        <w:t xml:space="preserve">Open questions and limitations</w:t>
      </w:r>
    </w:p>
    <w:p>
      <w:pPr>
        <w:pStyle w:val="FirstParagraph"/>
      </w:pPr>
      <w:r>
        <w:t xml:space="preserve">This update is based on the application context in this conversation and on official platform and vendor documentation. There were no retrievable internal project files or NLDR interface documents available in this thread, so the NLDR portions of the BRD are architecture recommendations rather than confirmations of an existing central API contract. If your current NLDR contract, message schema, or PACS-side Kafka usage differs materially from these assumptions, the installer architecture remains valid, but the sync appendix of the BRD should be tightened against the actual NLDR specification.</w:t>
      </w:r>
    </w:p>
    <w:bookmarkEnd w:id="38"/>
    <w:bookmarkEnd w:id="39"/>
    <w:bookmarkEnd w:id="40"/>
    <w:p>
      <w:r>
        <w:pict>
          <v:rect style="width:0;height:1.5pt" o:hralign="center" o:hrstd="t" o:hr="t"/>
        </w:pict>
      </w:r>
    </w:p>
    <w:bookmarkStart w:id="41" w:name="citations"/>
    <w:p>
      <w:pPr>
        <w:pStyle w:val="FirstParagraph"/>
      </w:pPr>
      <w:hyperlink r:id="rId23">
        <w:r>
          <w:rPr>
            <w:rStyle w:val="Hyperlink"/>
          </w:rPr>
          <w:t xml:space="preserve">[1]</w:t>
        </w:r>
      </w:hyperlink>
      <w:r>
        <w:t xml:space="preserve"> </w:t>
      </w:r>
      <w:hyperlink r:id="rId23">
        <w:r>
          <w:rPr>
            <w:rStyle w:val="Hyperlink"/>
          </w:rPr>
          <w:t xml:space="preserve">[3]</w:t>
        </w:r>
      </w:hyperlink>
      <w:r>
        <w:t xml:space="preserve"> </w:t>
      </w:r>
      <w:r>
        <w:t xml:space="preserve">https://docs.firegiant.com/wix/tools/burn/</w:t>
      </w:r>
    </w:p>
    <w:p>
      <w:pPr>
        <w:pStyle w:val="BodyText"/>
      </w:pPr>
      <w:hyperlink r:id="rId23">
        <w:r>
          <w:rPr>
            <w:rStyle w:val="Hyperlink"/>
          </w:rPr>
          <w:t xml:space="preserve">https://docs.firegiant.com/wix/tools/burn/</w:t>
        </w:r>
      </w:hyperlink>
    </w:p>
    <w:p>
      <w:pPr>
        <w:pStyle w:val="BodyText"/>
      </w:pPr>
      <w:hyperlink r:id="rId24">
        <w:r>
          <w:rPr>
            <w:rStyle w:val="Hyperlink"/>
          </w:rPr>
          <w:t xml:space="preserve">[2]</w:t>
        </w:r>
      </w:hyperlink>
      <w:r>
        <w:t xml:space="preserve"> </w:t>
      </w:r>
      <w:r>
        <w:t xml:space="preserve">https://learn.microsoft.com/en-us/dotnet/core/deploying/</w:t>
      </w:r>
    </w:p>
    <w:p>
      <w:pPr>
        <w:pStyle w:val="BodyText"/>
      </w:pPr>
      <w:hyperlink r:id="rId24">
        <w:r>
          <w:rPr>
            <w:rStyle w:val="Hyperlink"/>
          </w:rPr>
          <w:t xml:space="preserve">https://learn.microsoft.com/en-us/dotnet/core/deploying/</w:t>
        </w:r>
      </w:hyperlink>
    </w:p>
    <w:p>
      <w:pPr>
        <w:pStyle w:val="BodyText"/>
      </w:pPr>
      <w:hyperlink r:id="rId26">
        <w:r>
          <w:rPr>
            <w:rStyle w:val="Hyperlink"/>
          </w:rPr>
          <w:t xml:space="preserve">[4]</w:t>
        </w:r>
      </w:hyperlink>
      <w:r>
        <w:t xml:space="preserve"> </w:t>
      </w:r>
      <w:r>
        <w:t xml:space="preserve">https://learn.microsoft.com/en-us/windows-server/storage/disk-management/assign-a-mount-point-folder-path-to-a-drive</w:t>
      </w:r>
    </w:p>
    <w:p>
      <w:pPr>
        <w:pStyle w:val="BodyText"/>
      </w:pPr>
      <w:hyperlink r:id="rId26">
        <w:r>
          <w:rPr>
            <w:rStyle w:val="Hyperlink"/>
          </w:rPr>
          <w:t xml:space="preserve">https://learn.microsoft.com/en-us/windows-server/storage/disk-management/assign-a-mount-point-folder-path-to-a-drive</w:t>
        </w:r>
      </w:hyperlink>
    </w:p>
    <w:p>
      <w:pPr>
        <w:pStyle w:val="BodyText"/>
      </w:pPr>
      <w:hyperlink r:id="rId28">
        <w:r>
          <w:rPr>
            <w:rStyle w:val="Hyperlink"/>
          </w:rPr>
          <w:t xml:space="preserve">[5]</w:t>
        </w:r>
      </w:hyperlink>
      <w:r>
        <w:t xml:space="preserve"> </w:t>
      </w:r>
      <w:r>
        <w:t xml:space="preserve">https://learn.microsoft.com/en-us/windows-hardware/drivers/install/authenticode</w:t>
      </w:r>
    </w:p>
    <w:p>
      <w:pPr>
        <w:pStyle w:val="BodyText"/>
      </w:pPr>
      <w:hyperlink r:id="rId28">
        <w:r>
          <w:rPr>
            <w:rStyle w:val="Hyperlink"/>
          </w:rPr>
          <w:t xml:space="preserve">https://learn.microsoft.com/en-us/windows-hardware/drivers/install/authenticode</w:t>
        </w:r>
      </w:hyperlink>
    </w:p>
    <w:p>
      <w:pPr>
        <w:pStyle w:val="BodyText"/>
      </w:pPr>
      <w:hyperlink r:id="rId29">
        <w:r>
          <w:rPr>
            <w:rStyle w:val="Hyperlink"/>
          </w:rPr>
          <w:t xml:space="preserve">[6]</w:t>
        </w:r>
      </w:hyperlink>
      <w:r>
        <w:t xml:space="preserve"> </w:t>
      </w:r>
      <w:r>
        <w:t xml:space="preserve">https://learn.microsoft.com/en-us/aspnet/core/security/data-protection/implementation/key-encryption-at-rest?view=aspnetcore-10.0</w:t>
      </w:r>
    </w:p>
    <w:p>
      <w:pPr>
        <w:pStyle w:val="BodyText"/>
      </w:pPr>
      <w:hyperlink r:id="rId29">
        <w:r>
          <w:rPr>
            <w:rStyle w:val="Hyperlink"/>
          </w:rPr>
          <w:t xml:space="preserve">https://learn.microsoft.com/en-us/aspnet/core/security/data-protection/implementation/key-encryption-at-rest?view=aspnetcore-10.0</w:t>
        </w:r>
      </w:hyperlink>
    </w:p>
    <w:p>
      <w:pPr>
        <w:pStyle w:val="BodyText"/>
      </w:pPr>
      <w:hyperlink r:id="rId31">
        <w:r>
          <w:rPr>
            <w:rStyle w:val="Hyperlink"/>
          </w:rPr>
          <w:t xml:space="preserve">[7]</w:t>
        </w:r>
      </w:hyperlink>
      <w:r>
        <w:t xml:space="preserve"> </w:t>
      </w:r>
      <w:r>
        <w:t xml:space="preserve">https://dev.mysql.com/doc/refman/8.4/en/using-mysqldump.html</w:t>
      </w:r>
    </w:p>
    <w:p>
      <w:pPr>
        <w:pStyle w:val="BodyText"/>
      </w:pPr>
      <w:hyperlink r:id="rId31">
        <w:r>
          <w:rPr>
            <w:rStyle w:val="Hyperlink"/>
          </w:rPr>
          <w:t xml:space="preserve">https://dev.mysql.com/doc/refman/8.4/en/using-mysqldump.html</w:t>
        </w:r>
      </w:hyperlink>
    </w:p>
    <w:p>
      <w:pPr>
        <w:pStyle w:val="BodyText"/>
      </w:pPr>
      <w:hyperlink r:id="rId32">
        <w:r>
          <w:rPr>
            <w:rStyle w:val="Hyperlink"/>
          </w:rPr>
          <w:t xml:space="preserve">[8]</w:t>
        </w:r>
      </w:hyperlink>
      <w:r>
        <w:t xml:space="preserve"> </w:t>
      </w:r>
      <w:r>
        <w:t xml:space="preserve">https://redis.io/docs/latest/operate/oss_and_stack/management/persistence/</w:t>
      </w:r>
    </w:p>
    <w:p>
      <w:pPr>
        <w:pStyle w:val="BodyText"/>
      </w:pPr>
      <w:hyperlink r:id="rId32">
        <w:r>
          <w:rPr>
            <w:rStyle w:val="Hyperlink"/>
          </w:rPr>
          <w:t xml:space="preserve">https://redis.io/docs/latest/operate/oss_and_stack/management/persistence/</w:t>
        </w:r>
      </w:hyperlink>
    </w:p>
    <w:p>
      <w:pPr>
        <w:pStyle w:val="BodyText"/>
      </w:pPr>
      <w:hyperlink r:id="rId34">
        <w:r>
          <w:rPr>
            <w:rStyle w:val="Hyperlink"/>
          </w:rPr>
          <w:t xml:space="preserve">[9]</w:t>
        </w:r>
      </w:hyperlink>
      <w:r>
        <w:t xml:space="preserve"> </w:t>
      </w:r>
      <w:r>
        <w:t xml:space="preserve">https://learn.microsoft.com/en-us/azure/architecture/patterns/retry</w:t>
      </w:r>
    </w:p>
    <w:p>
      <w:pPr>
        <w:pStyle w:val="BodyText"/>
      </w:pPr>
      <w:hyperlink r:id="rId34">
        <w:r>
          <w:rPr>
            <w:rStyle w:val="Hyperlink"/>
          </w:rPr>
          <w:t xml:space="preserve">https://learn.microsoft.com/en-us/azure/architecture/patterns/retry</w:t>
        </w:r>
      </w:hyperlink>
    </w:p>
    <w:p>
      <w:pPr>
        <w:pStyle w:val="BodyText"/>
      </w:pPr>
      <w:hyperlink r:id="rId35">
        <w:r>
          <w:rPr>
            <w:rStyle w:val="Hyperlink"/>
          </w:rPr>
          <w:t xml:space="preserve">[10]</w:t>
        </w:r>
      </w:hyperlink>
      <w:r>
        <w:t xml:space="preserve"> </w:t>
      </w:r>
      <w:r>
        <w:t xml:space="preserve">https://kafka.apache.org/41/configuration/broker-configs/</w:t>
      </w:r>
    </w:p>
    <w:p>
      <w:pPr>
        <w:pStyle w:val="BodyText"/>
      </w:pPr>
      <w:hyperlink r:id="rId35">
        <w:r>
          <w:rPr>
            <w:rStyle w:val="Hyperlink"/>
          </w:rPr>
          <w:t xml:space="preserve">https://kafka.apache.org/41/configuration/broker-configs/</w:t>
        </w:r>
      </w:hyperlink>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 Target="https://dev.mysql.com/doc/refman/8.4/en/using-mysqldump.html" TargetMode="External" /><Relationship Type="http://schemas.openxmlformats.org/officeDocument/2006/relationships/hyperlink" Id="rId23" Target="https://docs.firegiant.com/wix/tools/burn/" TargetMode="External" /><Relationship Type="http://schemas.openxmlformats.org/officeDocument/2006/relationships/hyperlink" Id="rId35" Target="https://kafka.apache.org/41/configuration/broker-configs/" TargetMode="External" /><Relationship Type="http://schemas.openxmlformats.org/officeDocument/2006/relationships/hyperlink" Id="rId29" Target="https://learn.microsoft.com/en-us/aspnet/core/security/data-protection/implementation/key-encryption-at-rest?view=aspnetcore-10.0" TargetMode="External" /><Relationship Type="http://schemas.openxmlformats.org/officeDocument/2006/relationships/hyperlink" Id="rId34" Target="https://learn.microsoft.com/en-us/azure/architecture/patterns/retry" TargetMode="External" /><Relationship Type="http://schemas.openxmlformats.org/officeDocument/2006/relationships/hyperlink" Id="rId24" Target="https://learn.microsoft.com/en-us/dotnet/core/deploying/" TargetMode="External" /><Relationship Type="http://schemas.openxmlformats.org/officeDocument/2006/relationships/hyperlink" Id="rId28" Target="https://learn.microsoft.com/en-us/windows-hardware/drivers/install/authenticode" TargetMode="External" /><Relationship Type="http://schemas.openxmlformats.org/officeDocument/2006/relationships/hyperlink" Id="rId26" Target="https://learn.microsoft.com/en-us/windows-server/storage/disk-management/assign-a-mount-point-folder-path-to-a-drive" TargetMode="External" /><Relationship Type="http://schemas.openxmlformats.org/officeDocument/2006/relationships/hyperlink" Id="rId32" Target="https://redis.io/docs/latest/operate/oss_and_stack/management/persistence/" TargetMode="External" /><Relationship Type="http://schemas.openxmlformats.org/officeDocument/2006/relationships/hyperlink" Id="rId21" Target="sandbox:/mnt/data/PACS_ERP_Offline_Installer_BRD_v2.docx" TargetMode="External" /><Relationship Type="http://schemas.openxmlformats.org/officeDocument/2006/relationships/hyperlink" Id="rId22" Target="sandbox:/mnt/data/rendered_brd_pdf_v2/PACS_ERP_Offline_Installer_BRD_v2.pdf" TargetMode="External" /></Relationships>
</file>

<file path=word/_rels/footnotes.xml.rels><?xml version="1.0" encoding="UTF-8"?><Relationships xmlns="http://schemas.openxmlformats.org/package/2006/relationships"><Relationship Type="http://schemas.openxmlformats.org/officeDocument/2006/relationships/hyperlink" Id="rId31" Target="https://dev.mysql.com/doc/refman/8.4/en/using-mysqldump.html" TargetMode="External" /><Relationship Type="http://schemas.openxmlformats.org/officeDocument/2006/relationships/hyperlink" Id="rId23" Target="https://docs.firegiant.com/wix/tools/burn/" TargetMode="External" /><Relationship Type="http://schemas.openxmlformats.org/officeDocument/2006/relationships/hyperlink" Id="rId35" Target="https://kafka.apache.org/41/configuration/broker-configs/" TargetMode="External" /><Relationship Type="http://schemas.openxmlformats.org/officeDocument/2006/relationships/hyperlink" Id="rId29" Target="https://learn.microsoft.com/en-us/aspnet/core/security/data-protection/implementation/key-encryption-at-rest?view=aspnetcore-10.0" TargetMode="External" /><Relationship Type="http://schemas.openxmlformats.org/officeDocument/2006/relationships/hyperlink" Id="rId34" Target="https://learn.microsoft.com/en-us/azure/architecture/patterns/retry" TargetMode="External" /><Relationship Type="http://schemas.openxmlformats.org/officeDocument/2006/relationships/hyperlink" Id="rId24" Target="https://learn.microsoft.com/en-us/dotnet/core/deploying/" TargetMode="External" /><Relationship Type="http://schemas.openxmlformats.org/officeDocument/2006/relationships/hyperlink" Id="rId28" Target="https://learn.microsoft.com/en-us/windows-hardware/drivers/install/authenticode" TargetMode="External" /><Relationship Type="http://schemas.openxmlformats.org/officeDocument/2006/relationships/hyperlink" Id="rId26" Target="https://learn.microsoft.com/en-us/windows-server/storage/disk-management/assign-a-mount-point-folder-path-to-a-drive" TargetMode="External" /><Relationship Type="http://schemas.openxmlformats.org/officeDocument/2006/relationships/hyperlink" Id="rId32" Target="https://redis.io/docs/latest/operate/oss_and_stack/management/persistence/" TargetMode="External" /><Relationship Type="http://schemas.openxmlformats.org/officeDocument/2006/relationships/hyperlink" Id="rId21" Target="sandbox:/mnt/data/PACS_ERP_Offline_Installer_BRD_v2.docx" TargetMode="External" /><Relationship Type="http://schemas.openxmlformats.org/officeDocument/2006/relationships/hyperlink" Id="rId22" Target="sandbox:/mnt/data/rendered_brd_pdf_v2/PACS_ERP_Offline_Installer_BRD_v2.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2026-05-04T07:16:06Z</dcterms:created>
  <dcterms:modified xsi:type="dcterms:W3CDTF">2026-05-04T07:16:06Z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