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4"/>
        </w:rPr>
        <w:t>Business Requirements Document</w:t>
      </w:r>
    </w:p>
    <w:p>
      <w:pPr>
        <w:jc w:val="center"/>
      </w:pPr>
      <w:r>
        <w:rPr>
          <w:b/>
          <w:sz w:val="32"/>
        </w:rPr>
        <w:t>Shared Utility Module for Logging, Correlation, Error Handling,</w:t>
        <w:br/>
        <w:t>Observability, and Friendly Consumer-Safe Diagnostics</w:t>
      </w:r>
    </w:p>
    <w:p>
      <w:pPr>
        <w:spacing w:after="80"/>
      </w:pPr>
      <w:r/>
    </w:p>
    <w:p>
      <w:pPr>
        <w:jc w:val="center"/>
      </w:pPr>
      <w:r>
        <w:rPr>
          <w:b/>
          <w:sz w:val="24"/>
        </w:rPr>
        <w:t>Project Context: ePACS ERP / NABARD Programme</w:t>
      </w:r>
    </w:p>
    <w:p>
      <w:pPr>
        <w:jc w:val="center"/>
      </w:pPr>
      <w:r>
        <w:rPr>
          <w:i/>
          <w:sz w:val="21"/>
        </w:rPr>
        <w:t>Prepared for product, engineering, QA, DevOps, architecture, and programme governance</w:t>
      </w:r>
    </w:p>
    <w:p>
      <w:pPr>
        <w:spacing w:after="80"/>
      </w:pPr>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sz w:val="20"/>
              </w:rPr>
              <w:t>Document Title</w:t>
            </w:r>
          </w:p>
        </w:tc>
        <w:tc>
          <w:tcPr>
            <w:tcW w:type="dxa" w:w="4968"/>
          </w:tcPr>
          <w:p>
            <w:r>
              <w:rPr>
                <w:sz w:val="20"/>
              </w:rPr>
              <w:t>ERP Logging &amp; Error Handling Utility BRD</w:t>
            </w:r>
          </w:p>
        </w:tc>
      </w:tr>
      <w:tr>
        <w:tc>
          <w:tcPr>
            <w:tcW w:type="dxa" w:w="4968"/>
            <w:shd w:fill="D9EAF7"/>
          </w:tcPr>
          <w:p>
            <w:r>
              <w:rPr>
                <w:sz w:val="20"/>
              </w:rPr>
              <w:t>Version</w:t>
            </w:r>
          </w:p>
        </w:tc>
        <w:tc>
          <w:tcPr>
            <w:tcW w:type="dxa" w:w="4968"/>
          </w:tcPr>
          <w:p>
            <w:r>
              <w:rPr>
                <w:sz w:val="20"/>
              </w:rPr>
              <w:t>1.0</w:t>
            </w:r>
          </w:p>
        </w:tc>
      </w:tr>
      <w:tr>
        <w:tc>
          <w:tcPr>
            <w:tcW w:type="dxa" w:w="4968"/>
            <w:shd w:fill="D9EAF7"/>
          </w:tcPr>
          <w:p>
            <w:r>
              <w:rPr>
                <w:sz w:val="20"/>
              </w:rPr>
              <w:t>Prepared On</w:t>
            </w:r>
          </w:p>
        </w:tc>
        <w:tc>
          <w:tcPr>
            <w:tcW w:type="dxa" w:w="4968"/>
          </w:tcPr>
          <w:p>
            <w:r>
              <w:rPr>
                <w:sz w:val="20"/>
              </w:rPr>
              <w:t>23 Apr 2026</w:t>
            </w:r>
          </w:p>
        </w:tc>
      </w:tr>
      <w:tr>
        <w:tc>
          <w:tcPr>
            <w:tcW w:type="dxa" w:w="4968"/>
            <w:shd w:fill="D9EAF7"/>
          </w:tcPr>
          <w:p>
            <w:r>
              <w:rPr>
                <w:sz w:val="20"/>
              </w:rPr>
              <w:t>Prepared For</w:t>
            </w:r>
          </w:p>
        </w:tc>
        <w:tc>
          <w:tcPr>
            <w:tcW w:type="dxa" w:w="4968"/>
          </w:tcPr>
          <w:p>
            <w:r>
              <w:rPr>
                <w:sz w:val="20"/>
              </w:rPr>
              <w:t>ePACS ERP platform modernization and standardization</w:t>
            </w:r>
          </w:p>
        </w:tc>
      </w:tr>
    </w:tbl>
    <w:p>
      <w:r>
        <w:br w:type="page"/>
      </w:r>
    </w:p>
    <w:p>
      <w:pPr>
        <w:pStyle w:val="Heading1"/>
        <w:spacing w:after="80"/>
      </w:pPr>
      <w:r>
        <w:t>1. Executive Summary</w:t>
      </w:r>
    </w:p>
    <w:p>
      <w:pPr>
        <w:spacing w:after="80"/>
      </w:pPr>
      <w:r>
        <w:t>This BRD defines a shared platform utility for logging, correlation, exception handling, structured diagnostics, and consumer-friendly error responses for the ePACS ERP. The need is driven by the present state of the ERP, where logging exists but remains inconsistent, not sufficiently contextual, and difficult to consume across engineering, DevOps, QA, support, and business users.</w:t>
      </w:r>
    </w:p>
    <w:p>
      <w:pPr>
        <w:spacing w:after="80"/>
      </w:pPr>
      <w:r>
        <w:t>The proposed utility is not merely a logging library. It is a common observability and error contract for the ERP that standardizes how requests are traced, how failures are represented, how sensitive data is protected, how error codes are assigned, how logs are shipped to ELK, and how module teams adopt the pattern through dependency injection and annotations.</w:t>
      </w:r>
    </w:p>
    <w:p>
      <w:pPr>
        <w:spacing w:after="80"/>
      </w:pPr>
      <w:r>
        <w:t>The utility will provide correlation-aware request logging, typed application exceptions, a centralized error catalog, masking and redaction controls, standardized error response objects, outbound propagation to HTTP and Kafka, configuration-driven tuning, and an adoption model that can be applied incrementally across Loans, Membership, Savings, Borrowings, FAS, and other ERP modules.</w:t>
      </w:r>
    </w:p>
    <w:p>
      <w:pPr>
        <w:pStyle w:val="Heading1"/>
        <w:spacing w:after="80"/>
      </w:pPr>
      <w:r>
        <w:t>2. Background and Rationale</w:t>
      </w:r>
    </w:p>
    <w:p>
      <w:pPr>
        <w:spacing w:after="80"/>
      </w:pPr>
      <w:r>
        <w:t>The ERP already uses Serilog and retains the flexibility to publish logs to ELK. However, the current implementation is fragmented. Logs are often manual, lack consistent business and technical context, and do not expose a reliable trace path from request to downstream actions. Error handling is likewise inconsistent, and the same issue is surfaced differently across modules and environments.</w:t>
      </w:r>
    </w:p>
    <w:p>
      <w:pPr>
        <w:pStyle w:val="ListBullet"/>
        <w:spacing w:after="30"/>
        <w:ind w:left="0"/>
      </w:pPr>
      <w:r>
        <w:t>Logs are not consistently contextualized with module name, function or operation name, requester identity, state, PACS, route, or business identifiers.</w:t>
      </w:r>
    </w:p>
    <w:p>
      <w:pPr>
        <w:pStyle w:val="ListBullet"/>
        <w:spacing w:after="30"/>
        <w:ind w:left="0"/>
      </w:pPr>
      <w:r>
        <w:t>Correlation across HTTP requests, service calls, repositories, cache access, background jobs, and event publication is weak or absent.</w:t>
      </w:r>
    </w:p>
    <w:p>
      <w:pPr>
        <w:pStyle w:val="ListBullet"/>
        <w:spacing w:after="30"/>
        <w:ind w:left="0"/>
      </w:pPr>
      <w:r>
        <w:t>Existing error messages, error codes, and log messages are not standardized and are not equally usable by developers, QA, DevOps, support staff, and consumers.</w:t>
      </w:r>
    </w:p>
    <w:p>
      <w:pPr>
        <w:pStyle w:val="ListBullet"/>
        <w:spacing w:after="30"/>
        <w:ind w:left="0"/>
      </w:pPr>
      <w:r>
        <w:t>Manual start and end logging generates noise while still missing the data actually needed during triage.</w:t>
      </w:r>
    </w:p>
    <w:p>
      <w:pPr>
        <w:pStyle w:val="ListBullet"/>
        <w:spacing w:after="30"/>
        <w:ind w:left="0"/>
      </w:pPr>
      <w:r>
        <w:t>Sensitive and regulated data create an additional requirement: traceability must improve without exposing secrets or personally sensitive fields.</w:t>
      </w:r>
    </w:p>
    <w:p>
      <w:pPr>
        <w:spacing w:after="80"/>
      </w:pPr>
      <w:r>
        <w:t>Because the ERP serves financial institutions and operates in a programme with strong audit, governance, and accountability expectations, the logging and error-handling layer must be designed as a robust reusable platform utility rather than left to module-level variation.</w:t>
      </w:r>
    </w:p>
    <w:p>
      <w:pPr>
        <w:pStyle w:val="Heading1"/>
        <w:spacing w:after="80"/>
      </w:pPr>
      <w:r>
        <w:t>3. Vision Statement</w:t>
      </w:r>
    </w:p>
    <w:p>
      <w:pPr>
        <w:spacing w:after="80"/>
      </w:pPr>
      <w:r>
        <w:t>Build a platform-standard utility that gives every ERP module a consistent, low-friction, DI-first mechanism to produce structured logs, standardized errors, end-to-end traceability, consumer-safe responses, and future-ready audit hooks, while remaining configurable per environment, module, and audience.</w:t>
      </w:r>
    </w:p>
    <w:p>
      <w:pPr>
        <w:pStyle w:val="Heading1"/>
        <w:spacing w:after="80"/>
      </w:pPr>
      <w:r>
        <w:t>4. Business Problem Statement</w:t>
      </w:r>
    </w:p>
    <w:p>
      <w:pPr>
        <w:spacing w:after="80"/>
      </w:pPr>
      <w:r>
        <w:t>Today, incident diagnosis is slow, repetitive, and highly dependent on tribal knowledge. The same failure may produce different log formats, different messages, and different consumer behavior depending on the module. This increases mean time to resolution, reduces auditability, makes UAT findings harder to reproduce, burdens support, and creates unnecessary risk in a regulated transactional platform.</w:t>
      </w:r>
    </w:p>
    <w:p>
      <w:pPr>
        <w:spacing w:after="80"/>
      </w:pPr>
      <w:r>
        <w:t>The ERP therefore needs a shared utility that establishes one coherent way to capture context, classify errors, mask sensitive data, represent failures externally, and emit logs that engineering and operations can trust.</w:t>
      </w:r>
    </w:p>
    <w:p>
      <w:pPr>
        <w:pStyle w:val="Heading1"/>
        <w:spacing w:after="80"/>
      </w:pPr>
      <w:r>
        <w:t>5. Business Objectives</w:t>
      </w:r>
    </w:p>
    <w:p>
      <w:pPr>
        <w:pStyle w:val="ListBullet"/>
        <w:spacing w:after="30"/>
        <w:ind w:left="0"/>
      </w:pPr>
      <w:r>
        <w:t>Improve traceability for financial, operational, and integration flows.</w:t>
      </w:r>
    </w:p>
    <w:p>
      <w:pPr>
        <w:pStyle w:val="ListBullet"/>
        <w:spacing w:after="30"/>
        <w:ind w:left="0"/>
      </w:pPr>
      <w:r>
        <w:t>Reduce mean time to detect and resolve production issues.</w:t>
      </w:r>
    </w:p>
    <w:p>
      <w:pPr>
        <w:pStyle w:val="ListBullet"/>
        <w:spacing w:after="30"/>
        <w:ind w:left="0"/>
      </w:pPr>
      <w:r>
        <w:t>Make defects and UAT issues reproducible using stable correlation and error references.</w:t>
      </w:r>
    </w:p>
    <w:p>
      <w:pPr>
        <w:pStyle w:val="ListBullet"/>
        <w:spacing w:after="30"/>
        <w:ind w:left="0"/>
      </w:pPr>
      <w:r>
        <w:t>Standardize consumer-facing error behavior across ERP modules.</w:t>
      </w:r>
    </w:p>
    <w:p>
      <w:pPr>
        <w:pStyle w:val="ListBullet"/>
        <w:spacing w:after="30"/>
        <w:ind w:left="0"/>
      </w:pPr>
      <w:r>
        <w:t>Improve audit readiness and accountability without overexposing sensitive data.</w:t>
      </w:r>
    </w:p>
    <w:p>
      <w:pPr>
        <w:pStyle w:val="ListBullet"/>
        <w:spacing w:after="30"/>
        <w:ind w:left="0"/>
      </w:pPr>
      <w:r>
        <w:t>Provide a developer-friendly adoption model that scales to multiple modules and states.</w:t>
      </w:r>
    </w:p>
    <w:p>
      <w:pPr>
        <w:pStyle w:val="Heading1"/>
        <w:spacing w:after="80"/>
      </w:pPr>
      <w:r>
        <w:t>6. Scope</w:t>
      </w:r>
    </w:p>
    <w:p>
      <w:pPr>
        <w:pStyle w:val="Heading2"/>
        <w:spacing w:after="80"/>
      </w:pPr>
      <w:r>
        <w:t>6.1 In Scope</w:t>
      </w:r>
    </w:p>
    <w:p>
      <w:pPr>
        <w:pStyle w:val="ListBullet"/>
        <w:spacing w:after="30"/>
        <w:ind w:left="0"/>
      </w:pPr>
      <w:r>
        <w:t>ASP.NET Core middleware for correlation, request logging, and global exception handling.</w:t>
      </w:r>
    </w:p>
    <w:p>
      <w:pPr>
        <w:pStyle w:val="ListBullet"/>
        <w:spacing w:after="30"/>
        <w:ind w:left="0"/>
      </w:pPr>
      <w:r>
        <w:t>Structured logging abstractions and enrichers built for Serilog and ELK compatibility.</w:t>
      </w:r>
    </w:p>
    <w:p>
      <w:pPr>
        <w:pStyle w:val="ListBullet"/>
        <w:spacing w:after="30"/>
        <w:ind w:left="0"/>
      </w:pPr>
      <w:r>
        <w:t>Standard error codes, error response contracts, and a centralized error catalog.</w:t>
      </w:r>
    </w:p>
    <w:p>
      <w:pPr>
        <w:pStyle w:val="ListBullet"/>
        <w:spacing w:after="30"/>
        <w:ind w:left="0"/>
      </w:pPr>
      <w:r>
        <w:t>Masking and redaction controls for sensitive request, response, and exception data.</w:t>
      </w:r>
    </w:p>
    <w:p>
      <w:pPr>
        <w:pStyle w:val="ListBullet"/>
        <w:spacing w:after="30"/>
        <w:ind w:left="0"/>
      </w:pPr>
      <w:r>
        <w:t>Attributes and annotations to mark business operations, sensitive fields, and loggable contexts.</w:t>
      </w:r>
    </w:p>
    <w:p>
      <w:pPr>
        <w:pStyle w:val="ListBullet"/>
        <w:spacing w:after="30"/>
        <w:ind w:left="0"/>
      </w:pPr>
      <w:r>
        <w:t>Dependency injection extension methods for simple adoption into ERP modules.</w:t>
      </w:r>
    </w:p>
    <w:p>
      <w:pPr>
        <w:pStyle w:val="ListBullet"/>
        <w:spacing w:after="30"/>
        <w:ind w:left="0"/>
      </w:pPr>
      <w:r>
        <w:t>Outbound propagation of correlation metadata into HTTP, Kafka, and background operations.</w:t>
      </w:r>
    </w:p>
    <w:p>
      <w:pPr>
        <w:pStyle w:val="ListBullet"/>
        <w:spacing w:after="30"/>
        <w:ind w:left="0"/>
      </w:pPr>
      <w:r>
        <w:t>Migration guidance for replacing existing scattered logging and exception patterns.</w:t>
      </w:r>
    </w:p>
    <w:p>
      <w:pPr>
        <w:pStyle w:val="Heading2"/>
        <w:spacing w:after="80"/>
      </w:pPr>
      <w:r>
        <w:t>6.2 Out of Scope for Phase 1</w:t>
      </w:r>
    </w:p>
    <w:p>
      <w:pPr>
        <w:pStyle w:val="ListBullet"/>
        <w:spacing w:after="30"/>
        <w:ind w:left="0"/>
      </w:pPr>
      <w:r>
        <w:t>A full enterprise SIEM implementation.</w:t>
      </w:r>
    </w:p>
    <w:p>
      <w:pPr>
        <w:pStyle w:val="ListBullet"/>
        <w:spacing w:after="30"/>
        <w:ind w:left="0"/>
      </w:pPr>
      <w:r>
        <w:t>A full activity-audit subsystem for every business action and every table mutation.</w:t>
      </w:r>
    </w:p>
    <w:p>
      <w:pPr>
        <w:pStyle w:val="ListBullet"/>
        <w:spacing w:after="30"/>
        <w:ind w:left="0"/>
      </w:pPr>
      <w:r>
        <w:t>Complete OpenTelemetry and APM instrumentation across the whole estate.</w:t>
      </w:r>
    </w:p>
    <w:p>
      <w:pPr>
        <w:pStyle w:val="ListBullet"/>
        <w:spacing w:after="30"/>
        <w:ind w:left="0"/>
      </w:pPr>
      <w:r>
        <w:t>A full platform re-architecture or microservice refactoring exercise.</w:t>
      </w:r>
    </w:p>
    <w:p>
      <w:pPr>
        <w:pStyle w:val="Heading1"/>
        <w:spacing w:after="80"/>
      </w:pPr>
      <w:r>
        <w:t>7. Stakeholders and Consumers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160"/>
            <w:shd w:fill="D9EAF7"/>
            <w:vAlign w:val="center"/>
          </w:tcPr>
          <w:p>
            <w:r>
              <w:rPr>
                <w:b/>
                <w:sz w:val="19"/>
              </w:rPr>
              <w:t>Stakeholder</w:t>
            </w:r>
          </w:p>
        </w:tc>
        <w:tc>
          <w:tcPr>
            <w:tcW w:type="dxa" w:w="5184"/>
            <w:shd w:fill="D9EAF7"/>
            <w:vAlign w:val="center"/>
          </w:tcPr>
          <w:p>
            <w:r>
              <w:rPr>
                <w:b/>
                <w:sz w:val="19"/>
              </w:rPr>
              <w:t>Need from the Utility</w:t>
            </w:r>
          </w:p>
        </w:tc>
        <w:tc>
          <w:tcPr>
            <w:tcW w:type="dxa" w:w="2304"/>
            <w:shd w:fill="D9EAF7"/>
            <w:vAlign w:val="center"/>
          </w:tcPr>
          <w:p>
            <w:r>
              <w:rPr>
                <w:b/>
                <w:sz w:val="19"/>
              </w:rPr>
              <w:t>Primary Value</w:t>
            </w:r>
          </w:p>
        </w:tc>
      </w:tr>
      <w:tr>
        <w:tc>
          <w:tcPr>
            <w:tcW w:type="dxa" w:w="2160"/>
            <w:vAlign w:val="center"/>
          </w:tcPr>
          <w:p>
            <w:r>
              <w:rPr>
                <w:sz w:val="18"/>
              </w:rPr>
              <w:t>Developers</w:t>
            </w:r>
          </w:p>
        </w:tc>
        <w:tc>
          <w:tcPr>
            <w:tcW w:type="dxa" w:w="5184"/>
            <w:vAlign w:val="center"/>
          </w:tcPr>
          <w:p>
            <w:r>
              <w:rPr>
                <w:sz w:val="18"/>
              </w:rPr>
              <w:t>Structured technical logs, typed exceptions, DI-based usage, faster debugging</w:t>
            </w:r>
          </w:p>
        </w:tc>
        <w:tc>
          <w:tcPr>
            <w:tcW w:type="dxa" w:w="2304"/>
            <w:vAlign w:val="center"/>
          </w:tcPr>
          <w:p>
            <w:r>
              <w:rPr>
                <w:sz w:val="18"/>
              </w:rPr>
              <w:t>Reduced friction and cleaner code</w:t>
            </w:r>
          </w:p>
        </w:tc>
      </w:tr>
      <w:tr>
        <w:tc>
          <w:tcPr>
            <w:tcW w:type="dxa" w:w="2160"/>
            <w:vAlign w:val="center"/>
          </w:tcPr>
          <w:p>
            <w:r>
              <w:rPr>
                <w:sz w:val="18"/>
              </w:rPr>
              <w:t>DevOps / Platform</w:t>
            </w:r>
          </w:p>
        </w:tc>
        <w:tc>
          <w:tcPr>
            <w:tcW w:type="dxa" w:w="5184"/>
            <w:vAlign w:val="center"/>
          </w:tcPr>
          <w:p>
            <w:r>
              <w:rPr>
                <w:sz w:val="18"/>
              </w:rPr>
              <w:t>ELK-ready logs, correlation, tunable verbosity, alertable fields</w:t>
            </w:r>
          </w:p>
        </w:tc>
        <w:tc>
          <w:tcPr>
            <w:tcW w:type="dxa" w:w="2304"/>
            <w:vAlign w:val="center"/>
          </w:tcPr>
          <w:p>
            <w:r>
              <w:rPr>
                <w:sz w:val="18"/>
              </w:rPr>
              <w:t>Operational visibility and faster incident response</w:t>
            </w:r>
          </w:p>
        </w:tc>
      </w:tr>
      <w:tr>
        <w:tc>
          <w:tcPr>
            <w:tcW w:type="dxa" w:w="2160"/>
            <w:vAlign w:val="center"/>
          </w:tcPr>
          <w:p>
            <w:r>
              <w:rPr>
                <w:sz w:val="18"/>
              </w:rPr>
              <w:t>QA / SIT / UAT</w:t>
            </w:r>
          </w:p>
        </w:tc>
        <w:tc>
          <w:tcPr>
            <w:tcW w:type="dxa" w:w="5184"/>
            <w:vAlign w:val="center"/>
          </w:tcPr>
          <w:p>
            <w:r>
              <w:rPr>
                <w:sz w:val="18"/>
              </w:rPr>
              <w:t>Stable error codes, reproducible traces, standard responses</w:t>
            </w:r>
          </w:p>
        </w:tc>
        <w:tc>
          <w:tcPr>
            <w:tcW w:type="dxa" w:w="2304"/>
            <w:vAlign w:val="center"/>
          </w:tcPr>
          <w:p>
            <w:r>
              <w:rPr>
                <w:sz w:val="18"/>
              </w:rPr>
              <w:t>Repeatable test findings</w:t>
            </w:r>
          </w:p>
        </w:tc>
      </w:tr>
      <w:tr>
        <w:tc>
          <w:tcPr>
            <w:tcW w:type="dxa" w:w="2160"/>
            <w:vAlign w:val="center"/>
          </w:tcPr>
          <w:p>
            <w:r>
              <w:rPr>
                <w:sz w:val="18"/>
              </w:rPr>
              <w:t>Support / L2 / L3</w:t>
            </w:r>
          </w:p>
        </w:tc>
        <w:tc>
          <w:tcPr>
            <w:tcW w:type="dxa" w:w="5184"/>
            <w:vAlign w:val="center"/>
          </w:tcPr>
          <w:p>
            <w:r>
              <w:rPr>
                <w:sz w:val="18"/>
              </w:rPr>
              <w:t>Correlation id, support-friendly messages, severity, retryability</w:t>
            </w:r>
          </w:p>
        </w:tc>
        <w:tc>
          <w:tcPr>
            <w:tcW w:type="dxa" w:w="2304"/>
            <w:vAlign w:val="center"/>
          </w:tcPr>
          <w:p>
            <w:r>
              <w:rPr>
                <w:sz w:val="18"/>
              </w:rPr>
              <w:t>Quicker triage and escalation</w:t>
            </w:r>
          </w:p>
        </w:tc>
      </w:tr>
      <w:tr>
        <w:tc>
          <w:tcPr>
            <w:tcW w:type="dxa" w:w="2160"/>
            <w:vAlign w:val="center"/>
          </w:tcPr>
          <w:p>
            <w:r>
              <w:rPr>
                <w:sz w:val="18"/>
              </w:rPr>
              <w:t>Product / Business</w:t>
            </w:r>
          </w:p>
        </w:tc>
        <w:tc>
          <w:tcPr>
            <w:tcW w:type="dxa" w:w="5184"/>
            <w:vAlign w:val="center"/>
          </w:tcPr>
          <w:p>
            <w:r>
              <w:rPr>
                <w:sz w:val="18"/>
              </w:rPr>
              <w:t>Consumer-safe messages and standard failure behavior</w:t>
            </w:r>
          </w:p>
        </w:tc>
        <w:tc>
          <w:tcPr>
            <w:tcW w:type="dxa" w:w="2304"/>
            <w:vAlign w:val="center"/>
          </w:tcPr>
          <w:p>
            <w:r>
              <w:rPr>
                <w:sz w:val="18"/>
              </w:rPr>
              <w:t>Reduced confusion for users</w:t>
            </w:r>
          </w:p>
        </w:tc>
      </w:tr>
      <w:tr>
        <w:tc>
          <w:tcPr>
            <w:tcW w:type="dxa" w:w="2160"/>
            <w:vAlign w:val="center"/>
          </w:tcPr>
          <w:p>
            <w:r>
              <w:rPr>
                <w:sz w:val="18"/>
              </w:rPr>
              <w:t>Governance / Audit</w:t>
            </w:r>
          </w:p>
        </w:tc>
        <w:tc>
          <w:tcPr>
            <w:tcW w:type="dxa" w:w="5184"/>
            <w:vAlign w:val="center"/>
          </w:tcPr>
          <w:p>
            <w:r>
              <w:rPr>
                <w:sz w:val="18"/>
              </w:rPr>
              <w:t>Consistent trace references and future audit hooks</w:t>
            </w:r>
          </w:p>
        </w:tc>
        <w:tc>
          <w:tcPr>
            <w:tcW w:type="dxa" w:w="2304"/>
            <w:vAlign w:val="center"/>
          </w:tcPr>
          <w:p>
            <w:r>
              <w:rPr>
                <w:sz w:val="18"/>
              </w:rPr>
              <w:t>Higher accountability</w:t>
            </w:r>
          </w:p>
        </w:tc>
      </w:tr>
    </w:tbl>
    <w:p/>
    <w:p>
      <w:pPr>
        <w:pStyle w:val="Heading1"/>
        <w:spacing w:after="80"/>
      </w:pPr>
      <w:r>
        <w:t>8. High-Level Principles</w:t>
      </w:r>
    </w:p>
    <w:p>
      <w:pPr>
        <w:pStyle w:val="ListBullet"/>
        <w:spacing w:after="30"/>
        <w:ind w:left="0"/>
      </w:pPr>
      <w:r>
        <w:t>Per-request logging should replace manual method entry and exit logging for most paths.</w:t>
      </w:r>
    </w:p>
    <w:p>
      <w:pPr>
        <w:pStyle w:val="ListBullet"/>
        <w:spacing w:after="30"/>
        <w:ind w:left="0"/>
      </w:pPr>
      <w:r>
        <w:t>Logs must be structured, never assembled through string concatenation.</w:t>
      </w:r>
    </w:p>
    <w:p>
      <w:pPr>
        <w:pStyle w:val="ListBullet"/>
        <w:spacing w:after="30"/>
        <w:ind w:left="0"/>
      </w:pPr>
      <w:r>
        <w:t>Consumer-facing errors must remain safe and stable; diagnostic detail belongs in logs, not in API responses.</w:t>
      </w:r>
    </w:p>
    <w:p>
      <w:pPr>
        <w:pStyle w:val="ListBullet"/>
        <w:spacing w:after="30"/>
        <w:ind w:left="0"/>
      </w:pPr>
      <w:r>
        <w:t>Correlation must be established once and propagated everywhere practical.</w:t>
      </w:r>
    </w:p>
    <w:p>
      <w:pPr>
        <w:pStyle w:val="ListBullet"/>
        <w:spacing w:after="30"/>
        <w:ind w:left="0"/>
      </w:pPr>
      <w:r>
        <w:t>The utility must be DI-first and easy for module teams to adopt without excessive boilerplate.</w:t>
      </w:r>
    </w:p>
    <w:p>
      <w:pPr>
        <w:pStyle w:val="ListBullet"/>
        <w:spacing w:after="30"/>
        <w:ind w:left="0"/>
      </w:pPr>
      <w:r>
        <w:t>Configuration must drive verbosity, masking, sink behavior, and module overrides.</w:t>
      </w:r>
    </w:p>
    <w:p>
      <w:pPr>
        <w:pStyle w:val="ListBullet"/>
        <w:spacing w:after="30"/>
        <w:ind w:left="0"/>
      </w:pPr>
      <w:r>
        <w:t>The design must remain compatible with future audit, analytics, and APM evolution.</w:t>
      </w:r>
    </w:p>
    <w:p>
      <w:pPr>
        <w:pStyle w:val="Heading1"/>
        <w:spacing w:after="80"/>
      </w:pPr>
      <w:r>
        <w:t>9. Current-State Pain Points</w:t>
      </w:r>
    </w:p>
    <w:p>
      <w:pPr>
        <w:pStyle w:val="ListBullet"/>
        <w:spacing w:after="30"/>
        <w:ind w:left="0"/>
      </w:pPr>
      <w:r>
        <w:t>Inconsistent try/catch patterns and message formats across modules.</w:t>
      </w:r>
    </w:p>
    <w:p>
      <w:pPr>
        <w:pStyle w:val="ListBullet"/>
        <w:spacing w:after="30"/>
        <w:ind w:left="0"/>
      </w:pPr>
      <w:r>
        <w:t>Lack of contextual fields such as module, operation, route, user, PACS, and state in many logs.</w:t>
      </w:r>
    </w:p>
    <w:p>
      <w:pPr>
        <w:pStyle w:val="ListBullet"/>
        <w:spacing w:after="30"/>
        <w:ind w:left="0"/>
      </w:pPr>
      <w:r>
        <w:t>Difficulty correlating failures across UI, API, Redis, MySQL, and event publication.</w:t>
      </w:r>
    </w:p>
    <w:p>
      <w:pPr>
        <w:pStyle w:val="ListBullet"/>
        <w:spacing w:after="30"/>
        <w:ind w:left="0"/>
      </w:pPr>
      <w:r>
        <w:t>Different teams require different levels of detail, but the system does not separate consumer-safe messaging from support and developer diagnostics cleanly.</w:t>
      </w:r>
    </w:p>
    <w:p>
      <w:pPr>
        <w:pStyle w:val="ListBullet"/>
        <w:spacing w:after="30"/>
        <w:ind w:left="0"/>
      </w:pPr>
      <w:r>
        <w:t>No standard taxonomy for validation, business-rule, dependency, data-integrity, and system failures.</w:t>
      </w:r>
    </w:p>
    <w:p>
      <w:pPr>
        <w:pStyle w:val="ListBullet"/>
        <w:spacing w:after="30"/>
        <w:ind w:left="0"/>
      </w:pPr>
      <w:r>
        <w:t>No common adoption mechanism through annotations and DI that encourages platform consistency.</w:t>
      </w:r>
    </w:p>
    <w:p>
      <w:r>
        <w:br w:type="page"/>
      </w:r>
    </w:p>
    <w:p>
      <w:pPr>
        <w:pStyle w:val="Heading1"/>
        <w:spacing w:after="80"/>
      </w:pPr>
      <w:r>
        <w:t>10. Target Solution Overview</w:t>
      </w:r>
    </w:p>
    <w:p>
      <w:pPr>
        <w:spacing w:after="80"/>
      </w:pPr>
      <w:r>
        <w:t>The target solution is a shared utility package family that can be referenced by ERP modules and platform services. It provides middleware, abstractions, attributes, error models, masking rules, propagation helpers, and configuration contracts.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168"/>
            <w:shd w:fill="D9EAF7"/>
            <w:vAlign w:val="center"/>
          </w:tcPr>
          <w:p>
            <w:r>
              <w:rPr>
                <w:b/>
                <w:sz w:val="19"/>
              </w:rPr>
              <w:t>Package / Layer</w:t>
            </w:r>
          </w:p>
        </w:tc>
        <w:tc>
          <w:tcPr>
            <w:tcW w:type="dxa" w:w="5904"/>
            <w:shd w:fill="D9EAF7"/>
            <w:vAlign w:val="center"/>
          </w:tcPr>
          <w:p>
            <w:r>
              <w:rPr>
                <w:b/>
                <w:sz w:val="19"/>
              </w:rPr>
              <w:t>Purpose</w:t>
            </w:r>
          </w:p>
        </w:tc>
      </w:tr>
      <w:tr>
        <w:tc>
          <w:tcPr>
            <w:tcW w:type="dxa" w:w="3168"/>
            <w:vAlign w:val="center"/>
          </w:tcPr>
          <w:p>
            <w:r>
              <w:rPr>
                <w:sz w:val="18"/>
              </w:rPr>
              <w:t>Epcs.Utils.Observability.Abstractions</w:t>
            </w:r>
          </w:p>
        </w:tc>
        <w:tc>
          <w:tcPr>
            <w:tcW w:type="dxa" w:w="5904"/>
            <w:vAlign w:val="center"/>
          </w:tcPr>
          <w:p>
            <w:r>
              <w:rPr>
                <w:sz w:val="18"/>
              </w:rPr>
              <w:t>Interfaces, contracts, context accessors, attributes</w:t>
            </w:r>
          </w:p>
        </w:tc>
      </w:tr>
      <w:tr>
        <w:tc>
          <w:tcPr>
            <w:tcW w:type="dxa" w:w="3168"/>
            <w:vAlign w:val="center"/>
          </w:tcPr>
          <w:p>
            <w:r>
              <w:rPr>
                <w:sz w:val="18"/>
              </w:rPr>
              <w:t>Epcs.Utils.Observability.Core</w:t>
            </w:r>
          </w:p>
        </w:tc>
        <w:tc>
          <w:tcPr>
            <w:tcW w:type="dxa" w:w="5904"/>
            <w:vAlign w:val="center"/>
          </w:tcPr>
          <w:p>
            <w:r>
              <w:rPr>
                <w:sz w:val="18"/>
              </w:rPr>
              <w:t>Core logging abstractions, enrichers, masking, error catalog</w:t>
            </w:r>
          </w:p>
        </w:tc>
      </w:tr>
      <w:tr>
        <w:tc>
          <w:tcPr>
            <w:tcW w:type="dxa" w:w="3168"/>
            <w:vAlign w:val="center"/>
          </w:tcPr>
          <w:p>
            <w:r>
              <w:rPr>
                <w:sz w:val="18"/>
              </w:rPr>
              <w:t>Epcs.Utils.Observability.AspNetCore</w:t>
            </w:r>
          </w:p>
        </w:tc>
        <w:tc>
          <w:tcPr>
            <w:tcW w:type="dxa" w:w="5904"/>
            <w:vAlign w:val="center"/>
          </w:tcPr>
          <w:p>
            <w:r>
              <w:rPr>
                <w:sz w:val="18"/>
              </w:rPr>
              <w:t>Middleware, request pipeline integration, response mapping</w:t>
            </w:r>
          </w:p>
        </w:tc>
      </w:tr>
      <w:tr>
        <w:tc>
          <w:tcPr>
            <w:tcW w:type="dxa" w:w="3168"/>
            <w:vAlign w:val="center"/>
          </w:tcPr>
          <w:p>
            <w:r>
              <w:rPr>
                <w:sz w:val="18"/>
              </w:rPr>
              <w:t>Epcs.Utils.ErrorHandling</w:t>
            </w:r>
          </w:p>
        </w:tc>
        <w:tc>
          <w:tcPr>
            <w:tcW w:type="dxa" w:w="5904"/>
            <w:vAlign w:val="center"/>
          </w:tcPr>
          <w:p>
            <w:r>
              <w:rPr>
                <w:sz w:val="18"/>
              </w:rPr>
              <w:t>Typed exceptions, error codes, error response model</w:t>
            </w:r>
          </w:p>
        </w:tc>
      </w:tr>
      <w:tr>
        <w:tc>
          <w:tcPr>
            <w:tcW w:type="dxa" w:w="3168"/>
            <w:vAlign w:val="center"/>
          </w:tcPr>
          <w:p>
            <w:r>
              <w:rPr>
                <w:sz w:val="18"/>
              </w:rPr>
              <w:t>Epcs.Utils.AuditHooks</w:t>
            </w:r>
          </w:p>
        </w:tc>
        <w:tc>
          <w:tcPr>
            <w:tcW w:type="dxa" w:w="5904"/>
            <w:vAlign w:val="center"/>
          </w:tcPr>
          <w:p>
            <w:r>
              <w:rPr>
                <w:sz w:val="18"/>
              </w:rPr>
              <w:t>Optional phase-1 hook points for future financial traceability</w:t>
            </w:r>
          </w:p>
        </w:tc>
      </w:tr>
    </w:tbl>
    <w:p/>
    <w:p>
      <w:pPr>
        <w:pStyle w:val="Heading1"/>
        <w:spacing w:after="80"/>
      </w:pPr>
      <w:r>
        <w:t>11. Functional Requirements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008"/>
            <w:shd w:fill="D9EAF7"/>
            <w:vAlign w:val="center"/>
          </w:tcPr>
          <w:p>
            <w:r>
              <w:rPr>
                <w:b/>
                <w:sz w:val="19"/>
              </w:rPr>
              <w:t>ID</w:t>
            </w:r>
          </w:p>
        </w:tc>
        <w:tc>
          <w:tcPr>
            <w:tcW w:type="dxa" w:w="2880"/>
            <w:shd w:fill="D9EAF7"/>
            <w:vAlign w:val="center"/>
          </w:tcPr>
          <w:p>
            <w:r>
              <w:rPr>
                <w:b/>
                <w:sz w:val="19"/>
              </w:rPr>
              <w:t>Requirement</w:t>
            </w:r>
          </w:p>
        </w:tc>
        <w:tc>
          <w:tcPr>
            <w:tcW w:type="dxa" w:w="5472"/>
            <w:shd w:fill="D9EAF7"/>
            <w:vAlign w:val="center"/>
          </w:tcPr>
          <w:p>
            <w:r>
              <w:rPr>
                <w:b/>
                <w:sz w:val="19"/>
              </w:rPr>
              <w:t>Description</w:t>
            </w:r>
          </w:p>
        </w:tc>
      </w:tr>
      <w:tr>
        <w:tc>
          <w:tcPr>
            <w:tcW w:type="dxa" w:w="1008"/>
            <w:vAlign w:val="center"/>
          </w:tcPr>
          <w:p>
            <w:r>
              <w:rPr>
                <w:sz w:val="18"/>
              </w:rPr>
              <w:t>FR-1</w:t>
            </w:r>
          </w:p>
        </w:tc>
        <w:tc>
          <w:tcPr>
            <w:tcW w:type="dxa" w:w="2880"/>
            <w:vAlign w:val="center"/>
          </w:tcPr>
          <w:p>
            <w:r>
              <w:rPr>
                <w:sz w:val="18"/>
              </w:rPr>
              <w:t>Correlation ID management</w:t>
            </w:r>
          </w:p>
        </w:tc>
        <w:tc>
          <w:tcPr>
            <w:tcW w:type="dxa" w:w="5472"/>
            <w:vAlign w:val="center"/>
          </w:tcPr>
          <w:p>
            <w:r>
              <w:rPr>
                <w:sz w:val="18"/>
              </w:rPr>
              <w:t>Generate or accept correlation ids for inbound requests, store in request context, return in response headers, and push into logging scope.</w:t>
            </w:r>
          </w:p>
        </w:tc>
      </w:tr>
      <w:tr>
        <w:tc>
          <w:tcPr>
            <w:tcW w:type="dxa" w:w="1008"/>
            <w:vAlign w:val="center"/>
          </w:tcPr>
          <w:p>
            <w:r>
              <w:rPr>
                <w:sz w:val="18"/>
              </w:rPr>
              <w:t>FR-2</w:t>
            </w:r>
          </w:p>
        </w:tc>
        <w:tc>
          <w:tcPr>
            <w:tcW w:type="dxa" w:w="2880"/>
            <w:vAlign w:val="center"/>
          </w:tcPr>
          <w:p>
            <w:r>
              <w:rPr>
                <w:sz w:val="18"/>
              </w:rPr>
              <w:t>Automatic request lifecycle logging</w:t>
            </w:r>
          </w:p>
        </w:tc>
        <w:tc>
          <w:tcPr>
            <w:tcW w:type="dxa" w:w="5472"/>
            <w:vAlign w:val="center"/>
          </w:tcPr>
          <w:p>
            <w:r>
              <w:rPr>
                <w:sz w:val="18"/>
              </w:rPr>
              <w:t>Log request start, completion, status, and duration automatically with contextual metadata.</w:t>
            </w:r>
          </w:p>
        </w:tc>
      </w:tr>
      <w:tr>
        <w:tc>
          <w:tcPr>
            <w:tcW w:type="dxa" w:w="1008"/>
            <w:vAlign w:val="center"/>
          </w:tcPr>
          <w:p>
            <w:r>
              <w:rPr>
                <w:sz w:val="18"/>
              </w:rPr>
              <w:t>FR-3</w:t>
            </w:r>
          </w:p>
        </w:tc>
        <w:tc>
          <w:tcPr>
            <w:tcW w:type="dxa" w:w="2880"/>
            <w:vAlign w:val="center"/>
          </w:tcPr>
          <w:p>
            <w:r>
              <w:rPr>
                <w:sz w:val="18"/>
              </w:rPr>
              <w:t>Context enrichment</w:t>
            </w:r>
          </w:p>
        </w:tc>
        <w:tc>
          <w:tcPr>
            <w:tcW w:type="dxa" w:w="5472"/>
            <w:vAlign w:val="center"/>
          </w:tcPr>
          <w:p>
            <w:r>
              <w:rPr>
                <w:sz w:val="18"/>
              </w:rPr>
              <w:t>Enrich logs with module, operation, controller, user, PACS, state, tenant, machine, and environment details where available.</w:t>
            </w:r>
          </w:p>
        </w:tc>
      </w:tr>
      <w:tr>
        <w:tc>
          <w:tcPr>
            <w:tcW w:type="dxa" w:w="1008"/>
            <w:vAlign w:val="center"/>
          </w:tcPr>
          <w:p>
            <w:r>
              <w:rPr>
                <w:sz w:val="18"/>
              </w:rPr>
              <w:t>FR-4</w:t>
            </w:r>
          </w:p>
        </w:tc>
        <w:tc>
          <w:tcPr>
            <w:tcW w:type="dxa" w:w="2880"/>
            <w:vAlign w:val="center"/>
          </w:tcPr>
          <w:p>
            <w:r>
              <w:rPr>
                <w:sz w:val="18"/>
              </w:rPr>
              <w:t>Global exception handling</w:t>
            </w:r>
          </w:p>
        </w:tc>
        <w:tc>
          <w:tcPr>
            <w:tcW w:type="dxa" w:w="5472"/>
            <w:vAlign w:val="center"/>
          </w:tcPr>
          <w:p>
            <w:r>
              <w:rPr>
                <w:sz w:val="18"/>
              </w:rPr>
              <w:t>Catch unhandled exceptions centrally, map them to standard responses, and log diagnostics once.</w:t>
            </w:r>
          </w:p>
        </w:tc>
      </w:tr>
      <w:tr>
        <w:tc>
          <w:tcPr>
            <w:tcW w:type="dxa" w:w="1008"/>
            <w:vAlign w:val="center"/>
          </w:tcPr>
          <w:p>
            <w:r>
              <w:rPr>
                <w:sz w:val="18"/>
              </w:rPr>
              <w:t>FR-5</w:t>
            </w:r>
          </w:p>
        </w:tc>
        <w:tc>
          <w:tcPr>
            <w:tcW w:type="dxa" w:w="2880"/>
            <w:vAlign w:val="center"/>
          </w:tcPr>
          <w:p>
            <w:r>
              <w:rPr>
                <w:sz w:val="18"/>
              </w:rPr>
              <w:t>Typed exception taxonomy</w:t>
            </w:r>
          </w:p>
        </w:tc>
        <w:tc>
          <w:tcPr>
            <w:tcW w:type="dxa" w:w="5472"/>
            <w:vAlign w:val="center"/>
          </w:tcPr>
          <w:p>
            <w:r>
              <w:rPr>
                <w:sz w:val="18"/>
              </w:rPr>
              <w:t>Standard exception types for validation, business rules, security, integration, data integrity, concurrency, and unknown failures.</w:t>
            </w:r>
          </w:p>
        </w:tc>
      </w:tr>
      <w:tr>
        <w:tc>
          <w:tcPr>
            <w:tcW w:type="dxa" w:w="1008"/>
            <w:vAlign w:val="center"/>
          </w:tcPr>
          <w:p>
            <w:r>
              <w:rPr>
                <w:sz w:val="18"/>
              </w:rPr>
              <w:t>FR-6</w:t>
            </w:r>
          </w:p>
        </w:tc>
        <w:tc>
          <w:tcPr>
            <w:tcW w:type="dxa" w:w="2880"/>
            <w:vAlign w:val="center"/>
          </w:tcPr>
          <w:p>
            <w:r>
              <w:rPr>
                <w:sz w:val="18"/>
              </w:rPr>
              <w:t>Standard error codes</w:t>
            </w:r>
          </w:p>
        </w:tc>
        <w:tc>
          <w:tcPr>
            <w:tcW w:type="dxa" w:w="5472"/>
            <w:vAlign w:val="center"/>
          </w:tcPr>
          <w:p>
            <w:r>
              <w:rPr>
                <w:sz w:val="18"/>
              </w:rPr>
              <w:t>All significant failures must map to stable error codes using a common naming convention.</w:t>
            </w:r>
          </w:p>
        </w:tc>
      </w:tr>
      <w:tr>
        <w:tc>
          <w:tcPr>
            <w:tcW w:type="dxa" w:w="1008"/>
            <w:vAlign w:val="center"/>
          </w:tcPr>
          <w:p>
            <w:r>
              <w:rPr>
                <w:sz w:val="18"/>
              </w:rPr>
              <w:t>FR-7</w:t>
            </w:r>
          </w:p>
        </w:tc>
        <w:tc>
          <w:tcPr>
            <w:tcW w:type="dxa" w:w="2880"/>
            <w:vAlign w:val="center"/>
          </w:tcPr>
          <w:p>
            <w:r>
              <w:rPr>
                <w:sz w:val="18"/>
              </w:rPr>
              <w:t>Centralized error catalog</w:t>
            </w:r>
          </w:p>
        </w:tc>
        <w:tc>
          <w:tcPr>
            <w:tcW w:type="dxa" w:w="5472"/>
            <w:vAlign w:val="center"/>
          </w:tcPr>
          <w:p>
            <w:r>
              <w:rPr>
                <w:sz w:val="18"/>
              </w:rPr>
              <w:t>Support a catalog of error codes, titles, user messages, retryability, severity, and HTTP mappings.</w:t>
            </w:r>
          </w:p>
        </w:tc>
      </w:tr>
      <w:tr>
        <w:tc>
          <w:tcPr>
            <w:tcW w:type="dxa" w:w="1008"/>
            <w:vAlign w:val="center"/>
          </w:tcPr>
          <w:p>
            <w:r>
              <w:rPr>
                <w:sz w:val="18"/>
              </w:rPr>
              <w:t>FR-8</w:t>
            </w:r>
          </w:p>
        </w:tc>
        <w:tc>
          <w:tcPr>
            <w:tcW w:type="dxa" w:w="2880"/>
            <w:vAlign w:val="center"/>
          </w:tcPr>
          <w:p>
            <w:r>
              <w:rPr>
                <w:sz w:val="18"/>
              </w:rPr>
              <w:t>Consumer-safe response contract</w:t>
            </w:r>
          </w:p>
        </w:tc>
        <w:tc>
          <w:tcPr>
            <w:tcW w:type="dxa" w:w="5472"/>
            <w:vAlign w:val="center"/>
          </w:tcPr>
          <w:p>
            <w:r>
              <w:rPr>
                <w:sz w:val="18"/>
              </w:rPr>
              <w:t>All API failures must return a consistent JSON contract with error code, message, status, severity, retryability, and correlation id.</w:t>
            </w:r>
          </w:p>
        </w:tc>
      </w:tr>
      <w:tr>
        <w:tc>
          <w:tcPr>
            <w:tcW w:type="dxa" w:w="1008"/>
            <w:vAlign w:val="center"/>
          </w:tcPr>
          <w:p>
            <w:r>
              <w:rPr>
                <w:sz w:val="18"/>
              </w:rPr>
              <w:t>FR-9</w:t>
            </w:r>
          </w:p>
        </w:tc>
        <w:tc>
          <w:tcPr>
            <w:tcW w:type="dxa" w:w="2880"/>
            <w:vAlign w:val="center"/>
          </w:tcPr>
          <w:p>
            <w:r>
              <w:rPr>
                <w:sz w:val="18"/>
              </w:rPr>
              <w:t>Validation integration</w:t>
            </w:r>
          </w:p>
        </w:tc>
        <w:tc>
          <w:tcPr>
            <w:tcW w:type="dxa" w:w="5472"/>
            <w:vAlign w:val="center"/>
          </w:tcPr>
          <w:p>
            <w:r>
              <w:rPr>
                <w:sz w:val="18"/>
              </w:rPr>
              <w:t>Support DTO validation and normalized field-level errors at API boundaries.</w:t>
            </w:r>
          </w:p>
        </w:tc>
      </w:tr>
      <w:tr>
        <w:tc>
          <w:tcPr>
            <w:tcW w:type="dxa" w:w="1008"/>
            <w:vAlign w:val="center"/>
          </w:tcPr>
          <w:p>
            <w:r>
              <w:rPr>
                <w:sz w:val="18"/>
              </w:rPr>
              <w:t>FR-10</w:t>
            </w:r>
          </w:p>
        </w:tc>
        <w:tc>
          <w:tcPr>
            <w:tcW w:type="dxa" w:w="2880"/>
            <w:vAlign w:val="center"/>
          </w:tcPr>
          <w:p>
            <w:r>
              <w:rPr>
                <w:sz w:val="18"/>
              </w:rPr>
              <w:t>Sensitive data masking</w:t>
            </w:r>
          </w:p>
        </w:tc>
        <w:tc>
          <w:tcPr>
            <w:tcW w:type="dxa" w:w="5472"/>
            <w:vAlign w:val="center"/>
          </w:tcPr>
          <w:p>
            <w:r>
              <w:rPr>
                <w:sz w:val="18"/>
              </w:rPr>
              <w:t>Mask, suppress, or hash sensitive fields before they are logged.</w:t>
            </w:r>
          </w:p>
        </w:tc>
      </w:tr>
      <w:tr>
        <w:tc>
          <w:tcPr>
            <w:tcW w:type="dxa" w:w="1008"/>
            <w:vAlign w:val="center"/>
          </w:tcPr>
          <w:p>
            <w:r>
              <w:rPr>
                <w:sz w:val="18"/>
              </w:rPr>
              <w:t>FR-11</w:t>
            </w:r>
          </w:p>
        </w:tc>
        <w:tc>
          <w:tcPr>
            <w:tcW w:type="dxa" w:w="2880"/>
            <w:vAlign w:val="center"/>
          </w:tcPr>
          <w:p>
            <w:r>
              <w:rPr>
                <w:sz w:val="18"/>
              </w:rPr>
              <w:t>Annotation support</w:t>
            </w:r>
          </w:p>
        </w:tc>
        <w:tc>
          <w:tcPr>
            <w:tcW w:type="dxa" w:w="5472"/>
            <w:vAlign w:val="center"/>
          </w:tcPr>
          <w:p>
            <w:r>
              <w:rPr>
                <w:sz w:val="18"/>
              </w:rPr>
              <w:t>Provide attributes to declare business operations, sensitive fields, do-not-log fields, and explicit error-code linkage.</w:t>
            </w:r>
          </w:p>
        </w:tc>
      </w:tr>
      <w:tr>
        <w:tc>
          <w:tcPr>
            <w:tcW w:type="dxa" w:w="1008"/>
            <w:vAlign w:val="center"/>
          </w:tcPr>
          <w:p>
            <w:r>
              <w:rPr>
                <w:sz w:val="18"/>
              </w:rPr>
              <w:t>FR-12</w:t>
            </w:r>
          </w:p>
        </w:tc>
        <w:tc>
          <w:tcPr>
            <w:tcW w:type="dxa" w:w="2880"/>
            <w:vAlign w:val="center"/>
          </w:tcPr>
          <w:p>
            <w:r>
              <w:rPr>
                <w:sz w:val="18"/>
              </w:rPr>
              <w:t>Business checkpoint logging</w:t>
            </w:r>
          </w:p>
        </w:tc>
        <w:tc>
          <w:tcPr>
            <w:tcW w:type="dxa" w:w="5472"/>
            <w:vAlign w:val="center"/>
          </w:tcPr>
          <w:p>
            <w:r>
              <w:rPr>
                <w:sz w:val="18"/>
              </w:rPr>
              <w:t>Support targeted business-event logs for key workflow milestones rather than noisy method-level tracing.</w:t>
            </w:r>
          </w:p>
        </w:tc>
      </w:tr>
      <w:tr>
        <w:tc>
          <w:tcPr>
            <w:tcW w:type="dxa" w:w="1008"/>
            <w:vAlign w:val="center"/>
          </w:tcPr>
          <w:p>
            <w:r>
              <w:rPr>
                <w:sz w:val="18"/>
              </w:rPr>
              <w:t>FR-13</w:t>
            </w:r>
          </w:p>
        </w:tc>
        <w:tc>
          <w:tcPr>
            <w:tcW w:type="dxa" w:w="2880"/>
            <w:vAlign w:val="center"/>
          </w:tcPr>
          <w:p>
            <w:r>
              <w:rPr>
                <w:sz w:val="18"/>
              </w:rPr>
              <w:t>Outbound propagation</w:t>
            </w:r>
          </w:p>
        </w:tc>
        <w:tc>
          <w:tcPr>
            <w:tcW w:type="dxa" w:w="5472"/>
            <w:vAlign w:val="center"/>
          </w:tcPr>
          <w:p>
            <w:r>
              <w:rPr>
                <w:sz w:val="18"/>
              </w:rPr>
              <w:t>Propagate correlation and selected metadata into outbound HTTP, Kafka, and job execution contexts.</w:t>
            </w:r>
          </w:p>
        </w:tc>
      </w:tr>
      <w:tr>
        <w:tc>
          <w:tcPr>
            <w:tcW w:type="dxa" w:w="1008"/>
            <w:vAlign w:val="center"/>
          </w:tcPr>
          <w:p>
            <w:r>
              <w:rPr>
                <w:sz w:val="18"/>
              </w:rPr>
              <w:t>FR-14</w:t>
            </w:r>
          </w:p>
        </w:tc>
        <w:tc>
          <w:tcPr>
            <w:tcW w:type="dxa" w:w="2880"/>
            <w:vAlign w:val="center"/>
          </w:tcPr>
          <w:p>
            <w:r>
              <w:rPr>
                <w:sz w:val="18"/>
              </w:rPr>
              <w:t>ELK-friendly output</w:t>
            </w:r>
          </w:p>
        </w:tc>
        <w:tc>
          <w:tcPr>
            <w:tcW w:type="dxa" w:w="5472"/>
            <w:vAlign w:val="center"/>
          </w:tcPr>
          <w:p>
            <w:r>
              <w:rPr>
                <w:sz w:val="18"/>
              </w:rPr>
              <w:t>Emit structured fields suitable for indexing, filtering, and alerting in ELK.</w:t>
            </w:r>
          </w:p>
        </w:tc>
      </w:tr>
      <w:tr>
        <w:tc>
          <w:tcPr>
            <w:tcW w:type="dxa" w:w="1008"/>
            <w:vAlign w:val="center"/>
          </w:tcPr>
          <w:p>
            <w:r>
              <w:rPr>
                <w:sz w:val="18"/>
              </w:rPr>
              <w:t>FR-15</w:t>
            </w:r>
          </w:p>
        </w:tc>
        <w:tc>
          <w:tcPr>
            <w:tcW w:type="dxa" w:w="2880"/>
            <w:vAlign w:val="center"/>
          </w:tcPr>
          <w:p>
            <w:r>
              <w:rPr>
                <w:sz w:val="18"/>
              </w:rPr>
              <w:t>Future audit hook compatibility</w:t>
            </w:r>
          </w:p>
        </w:tc>
        <w:tc>
          <w:tcPr>
            <w:tcW w:type="dxa" w:w="5472"/>
            <w:vAlign w:val="center"/>
          </w:tcPr>
          <w:p>
            <w:r>
              <w:rPr>
                <w:sz w:val="18"/>
              </w:rPr>
              <w:t>Provide hook contracts so critical business actions can later emit auditable events without redesigning the module.</w:t>
            </w:r>
          </w:p>
        </w:tc>
      </w:tr>
    </w:tbl>
    <w:p/>
    <w:p>
      <w:pPr>
        <w:pStyle w:val="Heading1"/>
        <w:spacing w:after="80"/>
      </w:pPr>
      <w:r>
        <w:t>12. Error Taxonomy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880"/>
            <w:shd w:fill="D9EAF7"/>
            <w:vAlign w:val="center"/>
          </w:tcPr>
          <w:p>
            <w:r>
              <w:rPr>
                <w:b/>
                <w:sz w:val="19"/>
              </w:rPr>
              <w:t>Exception Type</w:t>
            </w:r>
          </w:p>
        </w:tc>
        <w:tc>
          <w:tcPr>
            <w:tcW w:type="dxa" w:w="4608"/>
            <w:shd w:fill="D9EAF7"/>
            <w:vAlign w:val="center"/>
          </w:tcPr>
          <w:p>
            <w:r>
              <w:rPr>
                <w:b/>
                <w:sz w:val="19"/>
              </w:rPr>
              <w:t>Typical Meaning</w:t>
            </w:r>
          </w:p>
        </w:tc>
        <w:tc>
          <w:tcPr>
            <w:tcW w:type="dxa" w:w="1728"/>
            <w:shd w:fill="D9EAF7"/>
            <w:vAlign w:val="center"/>
          </w:tcPr>
          <w:p>
            <w:r>
              <w:rPr>
                <w:b/>
                <w:sz w:val="19"/>
              </w:rPr>
              <w:t>Default HTTP Status</w:t>
            </w:r>
          </w:p>
        </w:tc>
      </w:tr>
      <w:tr>
        <w:tc>
          <w:tcPr>
            <w:tcW w:type="dxa" w:w="2880"/>
            <w:vAlign w:val="center"/>
          </w:tcPr>
          <w:p>
            <w:r>
              <w:rPr>
                <w:sz w:val="18"/>
              </w:rPr>
              <w:t>ValidationException</w:t>
            </w:r>
          </w:p>
        </w:tc>
        <w:tc>
          <w:tcPr>
            <w:tcW w:type="dxa" w:w="4608"/>
            <w:vAlign w:val="center"/>
          </w:tcPr>
          <w:p>
            <w:r>
              <w:rPr>
                <w:sz w:val="18"/>
              </w:rPr>
              <w:t>Input, DTO, or field validation failure</w:t>
            </w:r>
          </w:p>
        </w:tc>
        <w:tc>
          <w:tcPr>
            <w:tcW w:type="dxa" w:w="1728"/>
            <w:vAlign w:val="center"/>
          </w:tcPr>
          <w:p>
            <w:r>
              <w:rPr>
                <w:sz w:val="18"/>
              </w:rPr>
              <w:t>400</w:t>
            </w:r>
          </w:p>
        </w:tc>
      </w:tr>
      <w:tr>
        <w:tc>
          <w:tcPr>
            <w:tcW w:type="dxa" w:w="2880"/>
            <w:vAlign w:val="center"/>
          </w:tcPr>
          <w:p>
            <w:r>
              <w:rPr>
                <w:sz w:val="18"/>
              </w:rPr>
              <w:t>BusinessRuleException</w:t>
            </w:r>
          </w:p>
        </w:tc>
        <w:tc>
          <w:tcPr>
            <w:tcW w:type="dxa" w:w="4608"/>
            <w:vAlign w:val="center"/>
          </w:tcPr>
          <w:p>
            <w:r>
              <w:rPr>
                <w:sz w:val="18"/>
              </w:rPr>
              <w:t>Domain rule or workflow violation</w:t>
            </w:r>
          </w:p>
        </w:tc>
        <w:tc>
          <w:tcPr>
            <w:tcW w:type="dxa" w:w="1728"/>
            <w:vAlign w:val="center"/>
          </w:tcPr>
          <w:p>
            <w:r>
              <w:rPr>
                <w:sz w:val="18"/>
              </w:rPr>
              <w:t>409</w:t>
            </w:r>
          </w:p>
        </w:tc>
      </w:tr>
      <w:tr>
        <w:tc>
          <w:tcPr>
            <w:tcW w:type="dxa" w:w="2880"/>
            <w:vAlign w:val="center"/>
          </w:tcPr>
          <w:p>
            <w:r>
              <w:rPr>
                <w:sz w:val="18"/>
              </w:rPr>
              <w:t>NotFoundException</w:t>
            </w:r>
          </w:p>
        </w:tc>
        <w:tc>
          <w:tcPr>
            <w:tcW w:type="dxa" w:w="4608"/>
            <w:vAlign w:val="center"/>
          </w:tcPr>
          <w:p>
            <w:r>
              <w:rPr>
                <w:sz w:val="18"/>
              </w:rPr>
              <w:t>Requested entity or resource missing</w:t>
            </w:r>
          </w:p>
        </w:tc>
        <w:tc>
          <w:tcPr>
            <w:tcW w:type="dxa" w:w="1728"/>
            <w:vAlign w:val="center"/>
          </w:tcPr>
          <w:p>
            <w:r>
              <w:rPr>
                <w:sz w:val="18"/>
              </w:rPr>
              <w:t>404</w:t>
            </w:r>
          </w:p>
        </w:tc>
      </w:tr>
      <w:tr>
        <w:tc>
          <w:tcPr>
            <w:tcW w:type="dxa" w:w="2880"/>
            <w:vAlign w:val="center"/>
          </w:tcPr>
          <w:p>
            <w:r>
              <w:rPr>
                <w:sz w:val="18"/>
              </w:rPr>
              <w:t>UnauthorizedException</w:t>
            </w:r>
          </w:p>
        </w:tc>
        <w:tc>
          <w:tcPr>
            <w:tcW w:type="dxa" w:w="4608"/>
            <w:vAlign w:val="center"/>
          </w:tcPr>
          <w:p>
            <w:r>
              <w:rPr>
                <w:sz w:val="18"/>
              </w:rPr>
              <w:t>Authentication missing or invalid</w:t>
            </w:r>
          </w:p>
        </w:tc>
        <w:tc>
          <w:tcPr>
            <w:tcW w:type="dxa" w:w="1728"/>
            <w:vAlign w:val="center"/>
          </w:tcPr>
          <w:p>
            <w:r>
              <w:rPr>
                <w:sz w:val="18"/>
              </w:rPr>
              <w:t>401</w:t>
            </w:r>
          </w:p>
        </w:tc>
      </w:tr>
      <w:tr>
        <w:tc>
          <w:tcPr>
            <w:tcW w:type="dxa" w:w="2880"/>
            <w:vAlign w:val="center"/>
          </w:tcPr>
          <w:p>
            <w:r>
              <w:rPr>
                <w:sz w:val="18"/>
              </w:rPr>
              <w:t>ForbiddenException</w:t>
            </w:r>
          </w:p>
        </w:tc>
        <w:tc>
          <w:tcPr>
            <w:tcW w:type="dxa" w:w="4608"/>
            <w:vAlign w:val="center"/>
          </w:tcPr>
          <w:p>
            <w:r>
              <w:rPr>
                <w:sz w:val="18"/>
              </w:rPr>
              <w:t>Authenticated but not allowed</w:t>
            </w:r>
          </w:p>
        </w:tc>
        <w:tc>
          <w:tcPr>
            <w:tcW w:type="dxa" w:w="1728"/>
            <w:vAlign w:val="center"/>
          </w:tcPr>
          <w:p>
            <w:r>
              <w:rPr>
                <w:sz w:val="18"/>
              </w:rPr>
              <w:t>403</w:t>
            </w:r>
          </w:p>
        </w:tc>
      </w:tr>
      <w:tr>
        <w:tc>
          <w:tcPr>
            <w:tcW w:type="dxa" w:w="2880"/>
            <w:vAlign w:val="center"/>
          </w:tcPr>
          <w:p>
            <w:r>
              <w:rPr>
                <w:sz w:val="18"/>
              </w:rPr>
              <w:t>ConflictException</w:t>
            </w:r>
          </w:p>
        </w:tc>
        <w:tc>
          <w:tcPr>
            <w:tcW w:type="dxa" w:w="4608"/>
            <w:vAlign w:val="center"/>
          </w:tcPr>
          <w:p>
            <w:r>
              <w:rPr>
                <w:sz w:val="18"/>
              </w:rPr>
              <w:t>Concurrency or already-exists conflict</w:t>
            </w:r>
          </w:p>
        </w:tc>
        <w:tc>
          <w:tcPr>
            <w:tcW w:type="dxa" w:w="1728"/>
            <w:vAlign w:val="center"/>
          </w:tcPr>
          <w:p>
            <w:r>
              <w:rPr>
                <w:sz w:val="18"/>
              </w:rPr>
              <w:t>409</w:t>
            </w:r>
          </w:p>
        </w:tc>
      </w:tr>
      <w:tr>
        <w:tc>
          <w:tcPr>
            <w:tcW w:type="dxa" w:w="2880"/>
            <w:vAlign w:val="center"/>
          </w:tcPr>
          <w:p>
            <w:r>
              <w:rPr>
                <w:sz w:val="18"/>
              </w:rPr>
              <w:t>ExternalDependencyException</w:t>
            </w:r>
          </w:p>
        </w:tc>
        <w:tc>
          <w:tcPr>
            <w:tcW w:type="dxa" w:w="4608"/>
            <w:vAlign w:val="center"/>
          </w:tcPr>
          <w:p>
            <w:r>
              <w:rPr>
                <w:sz w:val="18"/>
              </w:rPr>
              <w:t>Downstream API, queue, provider, or integration error</w:t>
            </w:r>
          </w:p>
        </w:tc>
        <w:tc>
          <w:tcPr>
            <w:tcW w:type="dxa" w:w="1728"/>
            <w:vAlign w:val="center"/>
          </w:tcPr>
          <w:p>
            <w:r>
              <w:rPr>
                <w:sz w:val="18"/>
              </w:rPr>
              <w:t>502 / 503</w:t>
            </w:r>
          </w:p>
        </w:tc>
      </w:tr>
      <w:tr>
        <w:tc>
          <w:tcPr>
            <w:tcW w:type="dxa" w:w="2880"/>
            <w:vAlign w:val="center"/>
          </w:tcPr>
          <w:p>
            <w:r>
              <w:rPr>
                <w:sz w:val="18"/>
              </w:rPr>
              <w:t>DataIntegrityException</w:t>
            </w:r>
          </w:p>
        </w:tc>
        <w:tc>
          <w:tcPr>
            <w:tcW w:type="dxa" w:w="4608"/>
            <w:vAlign w:val="center"/>
          </w:tcPr>
          <w:p>
            <w:r>
              <w:rPr>
                <w:sz w:val="18"/>
              </w:rPr>
              <w:t>Persistence, schema, or data-consistency issue</w:t>
            </w:r>
          </w:p>
        </w:tc>
        <w:tc>
          <w:tcPr>
            <w:tcW w:type="dxa" w:w="1728"/>
            <w:vAlign w:val="center"/>
          </w:tcPr>
          <w:p>
            <w:r>
              <w:rPr>
                <w:sz w:val="18"/>
              </w:rPr>
              <w:t>500 / 409</w:t>
            </w:r>
          </w:p>
        </w:tc>
      </w:tr>
      <w:tr>
        <w:tc>
          <w:tcPr>
            <w:tcW w:type="dxa" w:w="2880"/>
            <w:vAlign w:val="center"/>
          </w:tcPr>
          <w:p>
            <w:r>
              <w:rPr>
                <w:sz w:val="18"/>
              </w:rPr>
              <w:t>UnhandledSystemException</w:t>
            </w:r>
          </w:p>
        </w:tc>
        <w:tc>
          <w:tcPr>
            <w:tcW w:type="dxa" w:w="4608"/>
            <w:vAlign w:val="center"/>
          </w:tcPr>
          <w:p>
            <w:r>
              <w:rPr>
                <w:sz w:val="18"/>
              </w:rPr>
              <w:t>Unexpected technical failure</w:t>
            </w:r>
          </w:p>
        </w:tc>
        <w:tc>
          <w:tcPr>
            <w:tcW w:type="dxa" w:w="1728"/>
            <w:vAlign w:val="center"/>
          </w:tcPr>
          <w:p>
            <w:r>
              <w:rPr>
                <w:sz w:val="18"/>
              </w:rPr>
              <w:t>500</w:t>
            </w:r>
          </w:p>
        </w:tc>
      </w:tr>
    </w:tbl>
    <w:p/>
    <w:p>
      <w:pPr>
        <w:pStyle w:val="Heading1"/>
        <w:spacing w:after="80"/>
      </w:pPr>
      <w:r>
        <w:t>13. Error Code Standard</w:t>
      </w:r>
    </w:p>
    <w:p>
      <w:pPr>
        <w:spacing w:after="80"/>
      </w:pPr>
      <w:r>
        <w:rPr>
          <w:b/>
        </w:rPr>
        <w:t>Recommended format:</w:t>
      </w:r>
      <w:r/>
    </w:p>
    <w:p>
      <w:pPr>
        <w:pStyle w:val="CodeBlock"/>
        <w:spacing w:after="0"/>
        <w:ind w:left="288"/>
      </w:pPr>
      <w:r>
        <w:rPr>
          <w:rFonts w:ascii="Courier New" w:hAnsi="Courier New"/>
          <w:sz w:val="17"/>
        </w:rPr>
        <w:t>ERP-{MODULE}-{CATEGORY}-{NUMBER}</w:t>
      </w:r>
    </w:p>
    <w:p/>
    <w:p>
      <w:pPr>
        <w:spacing w:after="80"/>
      </w:pPr>
      <w:r>
        <w:rPr>
          <w:b/>
        </w:rPr>
        <w:t>Recommended categories:</w:t>
      </w:r>
      <w:r/>
    </w:p>
    <w:p>
      <w:pPr>
        <w:pStyle w:val="ListBullet"/>
        <w:spacing w:after="30"/>
        <w:ind w:left="0"/>
      </w:pPr>
      <w:r>
        <w:t>VAL for validation failures</w:t>
      </w:r>
    </w:p>
    <w:p>
      <w:pPr>
        <w:pStyle w:val="ListBullet"/>
        <w:spacing w:after="30"/>
        <w:ind w:left="0"/>
      </w:pPr>
      <w:r>
        <w:t>BIZ for business-rule failures</w:t>
      </w:r>
    </w:p>
    <w:p>
      <w:pPr>
        <w:pStyle w:val="ListBullet"/>
        <w:spacing w:after="30"/>
        <w:ind w:left="0"/>
      </w:pPr>
      <w:r>
        <w:t>DATA for data and persistence issues</w:t>
      </w:r>
    </w:p>
    <w:p>
      <w:pPr>
        <w:pStyle w:val="ListBullet"/>
        <w:spacing w:after="30"/>
        <w:ind w:left="0"/>
      </w:pPr>
      <w:r>
        <w:t>INT for integrations and external dependencies</w:t>
      </w:r>
    </w:p>
    <w:p>
      <w:pPr>
        <w:pStyle w:val="ListBullet"/>
        <w:spacing w:after="30"/>
        <w:ind w:left="0"/>
      </w:pPr>
      <w:r>
        <w:t>SEC for security and authorization issues</w:t>
      </w:r>
    </w:p>
    <w:p>
      <w:pPr>
        <w:pStyle w:val="ListBullet"/>
        <w:spacing w:after="30"/>
        <w:ind w:left="0"/>
      </w:pPr>
      <w:r>
        <w:t>SYS for internal technical failures</w:t>
      </w:r>
    </w:p>
    <w:p>
      <w:pPr>
        <w:pStyle w:val="ListBullet"/>
        <w:spacing w:after="30"/>
        <w:ind w:left="0"/>
      </w:pPr>
      <w:r>
        <w:t>CON for concurrency and conflict conditions</w:t>
      </w:r>
    </w:p>
    <w:p>
      <w:pPr>
        <w:pStyle w:val="ListBullet"/>
        <w:spacing w:after="30"/>
        <w:ind w:left="0"/>
      </w:pPr>
      <w:r>
        <w:t>NFD for not-found cases</w:t>
      </w:r>
    </w:p>
    <w:p>
      <w:pPr>
        <w:spacing w:after="80"/>
      </w:pPr>
      <w:r>
        <w:rPr>
          <w:b/>
        </w:rPr>
        <w:t>Examples:</w:t>
      </w:r>
      <w:r/>
    </w:p>
    <w:p>
      <w:pPr>
        <w:pStyle w:val="ListBullet"/>
        <w:spacing w:after="30"/>
        <w:ind w:left="0"/>
      </w:pPr>
      <w:r>
        <w:t>ERP-LOANS-VAL-0001</w:t>
      </w:r>
    </w:p>
    <w:p>
      <w:pPr>
        <w:pStyle w:val="ListBullet"/>
        <w:spacing w:after="30"/>
        <w:ind w:left="0"/>
      </w:pPr>
      <w:r>
        <w:t>ERP-LOANS-BIZ-0042</w:t>
      </w:r>
    </w:p>
    <w:p>
      <w:pPr>
        <w:pStyle w:val="ListBullet"/>
        <w:spacing w:after="30"/>
        <w:ind w:left="0"/>
      </w:pPr>
      <w:r>
        <w:t>ERP-SAVINGS-DATA-0011</w:t>
      </w:r>
    </w:p>
    <w:p>
      <w:pPr>
        <w:pStyle w:val="ListBullet"/>
        <w:spacing w:after="30"/>
        <w:ind w:left="0"/>
      </w:pPr>
      <w:r>
        <w:t>ERP-MEMBERSHIP-SEC-0003</w:t>
      </w:r>
    </w:p>
    <w:p>
      <w:pPr>
        <w:pStyle w:val="ListBullet"/>
        <w:spacing w:after="30"/>
        <w:ind w:left="0"/>
      </w:pPr>
      <w:r>
        <w:t>ERP-FAS-SYS-0009</w:t>
      </w:r>
    </w:p>
    <w:p>
      <w:pPr>
        <w:pStyle w:val="Heading1"/>
        <w:spacing w:after="80"/>
      </w:pPr>
      <w:r>
        <w:t>14. Standard Error Response</w:t>
      </w:r>
    </w:p>
    <w:p>
      <w:pPr>
        <w:spacing w:after="80"/>
      </w:pPr>
      <w:r>
        <w:rPr>
          <w:b/>
        </w:rPr>
        <w:t>Suggested API contract:</w:t>
      </w:r>
      <w:r/>
    </w:p>
    <w:p>
      <w:pPr>
        <w:pStyle w:val="CodeBlock"/>
        <w:spacing w:after="0"/>
        <w:ind w:left="288"/>
      </w:pPr>
      <w:r>
        <w:rPr>
          <w:rFonts w:ascii="Courier New" w:hAnsi="Courier New"/>
          <w:sz w:val="17"/>
        </w:rPr>
        <w:t>{</w:t>
      </w:r>
    </w:p>
    <w:p>
      <w:pPr>
        <w:pStyle w:val="CodeBlock"/>
        <w:spacing w:after="0"/>
        <w:ind w:left="288"/>
      </w:pPr>
      <w:r>
        <w:rPr>
          <w:rFonts w:ascii="Courier New" w:hAnsi="Courier New"/>
          <w:sz w:val="17"/>
        </w:rPr>
        <w:t xml:space="preserve">  "success": false,</w:t>
      </w:r>
    </w:p>
    <w:p>
      <w:pPr>
        <w:pStyle w:val="CodeBlock"/>
        <w:spacing w:after="0"/>
        <w:ind w:left="288"/>
      </w:pPr>
      <w:r>
        <w:rPr>
          <w:rFonts w:ascii="Courier New" w:hAnsi="Courier New"/>
          <w:sz w:val="17"/>
        </w:rPr>
        <w:t xml:space="preserve">  "errorCode": "ERP-LOANS-VAL-0001",</w:t>
      </w:r>
    </w:p>
    <w:p>
      <w:pPr>
        <w:pStyle w:val="CodeBlock"/>
        <w:spacing w:after="0"/>
        <w:ind w:left="288"/>
      </w:pPr>
      <w:r>
        <w:rPr>
          <w:rFonts w:ascii="Courier New" w:hAnsi="Courier New"/>
          <w:sz w:val="17"/>
        </w:rPr>
        <w:t xml:space="preserve">  "title": "Validation failed",</w:t>
      </w:r>
    </w:p>
    <w:p>
      <w:pPr>
        <w:pStyle w:val="CodeBlock"/>
        <w:spacing w:after="0"/>
        <w:ind w:left="288"/>
      </w:pPr>
      <w:r>
        <w:rPr>
          <w:rFonts w:ascii="Courier New" w:hAnsi="Courier New"/>
          <w:sz w:val="17"/>
        </w:rPr>
        <w:t xml:space="preserve">  "message": "Some inputs are invalid. Please review and try again.",</w:t>
      </w:r>
    </w:p>
    <w:p>
      <w:pPr>
        <w:pStyle w:val="CodeBlock"/>
        <w:spacing w:after="0"/>
        <w:ind w:left="288"/>
      </w:pPr>
      <w:r>
        <w:rPr>
          <w:rFonts w:ascii="Courier New" w:hAnsi="Courier New"/>
          <w:sz w:val="17"/>
        </w:rPr>
        <w:t xml:space="preserve">  "correlationId": "c7d2f3c7-8a4c-4c63-8e1a-6b6d9171f2aa",</w:t>
      </w:r>
    </w:p>
    <w:p>
      <w:pPr>
        <w:pStyle w:val="CodeBlock"/>
        <w:spacing w:after="0"/>
        <w:ind w:left="288"/>
      </w:pPr>
      <w:r>
        <w:rPr>
          <w:rFonts w:ascii="Courier New" w:hAnsi="Courier New"/>
          <w:sz w:val="17"/>
        </w:rPr>
        <w:t xml:space="preserve">  "status": 400,</w:t>
      </w:r>
    </w:p>
    <w:p>
      <w:pPr>
        <w:pStyle w:val="CodeBlock"/>
        <w:spacing w:after="0"/>
        <w:ind w:left="288"/>
      </w:pPr>
      <w:r>
        <w:rPr>
          <w:rFonts w:ascii="Courier New" w:hAnsi="Courier New"/>
          <w:sz w:val="17"/>
        </w:rPr>
        <w:t xml:space="preserve">  "severity": "warning",</w:t>
      </w:r>
    </w:p>
    <w:p>
      <w:pPr>
        <w:pStyle w:val="CodeBlock"/>
        <w:spacing w:after="0"/>
        <w:ind w:left="288"/>
      </w:pPr>
      <w:r>
        <w:rPr>
          <w:rFonts w:ascii="Courier New" w:hAnsi="Courier New"/>
          <w:sz w:val="17"/>
        </w:rPr>
        <w:t xml:space="preserve">  "retryable": false,</w:t>
      </w:r>
    </w:p>
    <w:p>
      <w:pPr>
        <w:pStyle w:val="CodeBlock"/>
        <w:spacing w:after="0"/>
        <w:ind w:left="288"/>
      </w:pPr>
      <w:r>
        <w:rPr>
          <w:rFonts w:ascii="Courier New" w:hAnsi="Courier New"/>
          <w:sz w:val="17"/>
        </w:rPr>
        <w:t xml:space="preserve">  "fieldErrors": [</w:t>
      </w:r>
    </w:p>
    <w:p>
      <w:pPr>
        <w:pStyle w:val="CodeBlock"/>
        <w:spacing w:after="0"/>
        <w:ind w:left="288"/>
      </w:pPr>
      <w:r>
        <w:rPr>
          <w:rFonts w:ascii="Courier New" w:hAnsi="Courier New"/>
          <w:sz w:val="17"/>
        </w:rPr>
        <w:t xml:space="preserve">    { "field": "LoanAmount", "message": "Loan amount must be greater than zero." }</w:t>
      </w:r>
    </w:p>
    <w:p>
      <w:pPr>
        <w:pStyle w:val="CodeBlock"/>
        <w:spacing w:after="0"/>
        <w:ind w:left="288"/>
      </w:pPr>
      <w:r>
        <w:rPr>
          <w:rFonts w:ascii="Courier New" w:hAnsi="Courier New"/>
          <w:sz w:val="17"/>
        </w:rPr>
        <w:t xml:space="preserve">  ]</w:t>
      </w:r>
    </w:p>
    <w:p>
      <w:pPr>
        <w:pStyle w:val="CodeBlock"/>
        <w:spacing w:after="0"/>
        <w:ind w:left="288"/>
      </w:pPr>
      <w:r>
        <w:rPr>
          <w:rFonts w:ascii="Courier New" w:hAnsi="Courier New"/>
          <w:sz w:val="17"/>
        </w:rPr>
        <w:t>}</w:t>
      </w:r>
    </w:p>
    <w:p/>
    <w:p>
      <w:pPr>
        <w:spacing w:after="80"/>
      </w:pPr>
      <w:r>
        <w:t>The same error should be readable at three levels: a simple user message, a support-oriented message with a reference to the correlation id, and a developer-facing technical log record with exception detail.</w:t>
      </w:r>
    </w:p>
    <w:p>
      <w:pPr>
        <w:pStyle w:val="Heading1"/>
        <w:spacing w:after="80"/>
      </w:pPr>
      <w:r>
        <w:t>15. Logging and Context Model</w:t>
      </w:r>
    </w:p>
    <w:p>
      <w:pPr>
        <w:spacing w:after="80"/>
      </w:pPr>
      <w:r>
        <w:t>Each request or business event log should be able to carry the following canonical fields:</w:t>
      </w:r>
    </w:p>
    <w:p>
      <w:pPr>
        <w:pStyle w:val="ListBullet"/>
        <w:spacing w:after="30"/>
        <w:ind w:left="0"/>
      </w:pPr>
      <w:r>
        <w:t>timestamp, environment, application name, module, feature, operation</w:t>
      </w:r>
    </w:p>
    <w:p>
      <w:pPr>
        <w:pStyle w:val="ListBullet"/>
        <w:spacing w:after="30"/>
        <w:ind w:left="0"/>
      </w:pPr>
      <w:r>
        <w:t>correlationId, requestId, traceparent where applicable</w:t>
      </w:r>
    </w:p>
    <w:p>
      <w:pPr>
        <w:pStyle w:val="ListBullet"/>
        <w:spacing w:after="30"/>
        <w:ind w:left="0"/>
      </w:pPr>
      <w:r>
        <w:t>HTTP method, path, route template, status code, duration</w:t>
      </w:r>
    </w:p>
    <w:p>
      <w:pPr>
        <w:pStyle w:val="ListBullet"/>
        <w:spacing w:after="30"/>
        <w:ind w:left="0"/>
      </w:pPr>
      <w:r>
        <w:t>userId, username, role, channel, client IP, user agent</w:t>
      </w:r>
    </w:p>
    <w:p>
      <w:pPr>
        <w:pStyle w:val="ListBullet"/>
        <w:spacing w:after="30"/>
        <w:ind w:left="0"/>
      </w:pPr>
      <w:r>
        <w:t>stateCode, PACS id, tenant or instance context</w:t>
      </w:r>
    </w:p>
    <w:p>
      <w:pPr>
        <w:pStyle w:val="ListBullet"/>
        <w:spacing w:after="30"/>
        <w:ind w:left="0"/>
      </w:pPr>
      <w:r>
        <w:t>business entity ids such as memberId, applicationId, voucherId, loanAccountId when relevant</w:t>
      </w:r>
    </w:p>
    <w:p>
      <w:pPr>
        <w:pStyle w:val="ListBullet"/>
        <w:spacing w:after="30"/>
        <w:ind w:left="0"/>
      </w:pPr>
      <w:r>
        <w:t>errorCode, exceptionType, severity, retryable</w:t>
      </w:r>
    </w:p>
    <w:p>
      <w:pPr>
        <w:pStyle w:val="Heading1"/>
        <w:spacing w:after="80"/>
      </w:pPr>
      <w:r>
        <w:t>16. Sensitive Data and Redaction</w:t>
      </w:r>
    </w:p>
    <w:p>
      <w:pPr>
        <w:pStyle w:val="ListBullet"/>
        <w:spacing w:after="30"/>
        <w:ind w:left="0"/>
      </w:pPr>
      <w:r>
        <w:t>Passwords, tokens, secrets, connection strings, and keys must never be logged.</w:t>
      </w:r>
    </w:p>
    <w:p>
      <w:pPr>
        <w:pStyle w:val="ListBullet"/>
        <w:spacing w:after="30"/>
        <w:ind w:left="0"/>
      </w:pPr>
      <w:r>
        <w:t>Personally identifying or regulated values such as Aadhaar, PAN, mobile numbers, account numbers, and document numbers must be masked or suppressed according to policy.</w:t>
      </w:r>
    </w:p>
    <w:p>
      <w:pPr>
        <w:pStyle w:val="ListBullet"/>
        <w:spacing w:after="30"/>
        <w:ind w:left="0"/>
      </w:pPr>
      <w:r>
        <w:t>Body logging should be disabled by default and allowed only through explicit configuration and whitelisting.</w:t>
      </w:r>
    </w:p>
    <w:p>
      <w:pPr>
        <w:pStyle w:val="ListBullet"/>
        <w:spacing w:after="30"/>
        <w:ind w:left="0"/>
      </w:pPr>
      <w:r>
        <w:t>Field-level annotations such as [Sensitive], [Mask], and [DoNotLog] should override generic behavior.</w:t>
      </w:r>
    </w:p>
    <w:p>
      <w:r>
        <w:br w:type="page"/>
      </w:r>
    </w:p>
    <w:p>
      <w:pPr>
        <w:pStyle w:val="Heading1"/>
        <w:spacing w:after="80"/>
      </w:pPr>
      <w:r>
        <w:t>17. Annotation and DI Adoption Model</w:t>
      </w:r>
    </w:p>
    <w:p>
      <w:pPr>
        <w:spacing w:after="80"/>
      </w:pPr>
      <w:r>
        <w:t>To make the utility consumable by module teams, adoption must be annotation-driven where possible and constructor-injected everywhere. The goal is to reduce ad hoc patterns and avoid forcing developers to repeatedly hand-code the same concerns.</w:t>
      </w:r>
    </w:p>
    <w:p>
      <w:pPr>
        <w:spacing w:after="80"/>
      </w:pPr>
      <w:r>
        <w:rPr>
          <w:b/>
        </w:rPr>
        <w:t>Illustrative attributes:</w:t>
      </w:r>
      <w:r/>
    </w:p>
    <w:p>
      <w:pPr>
        <w:pStyle w:val="CodeBlock"/>
        <w:spacing w:after="0"/>
        <w:ind w:left="288"/>
      </w:pPr>
      <w:r>
        <w:rPr>
          <w:rFonts w:ascii="Courier New" w:hAnsi="Courier New"/>
          <w:sz w:val="17"/>
        </w:rPr>
        <w:t>[BusinessOperation("Loans", "LoanApplication", "Submit")]</w:t>
      </w:r>
    </w:p>
    <w:p>
      <w:pPr>
        <w:pStyle w:val="CodeBlock"/>
        <w:spacing w:after="0"/>
        <w:ind w:left="288"/>
      </w:pPr>
      <w:r>
        <w:rPr>
          <w:rFonts w:ascii="Courier New" w:hAnsi="Courier New"/>
          <w:sz w:val="17"/>
        </w:rPr>
        <w:t>[ErrorCode("ERP-LOANS-BIZ-0042")]</w:t>
      </w:r>
    </w:p>
    <w:p>
      <w:pPr>
        <w:pStyle w:val="CodeBlock"/>
        <w:spacing w:after="0"/>
        <w:ind w:left="288"/>
      </w:pPr>
      <w:r>
        <w:rPr>
          <w:rFonts w:ascii="Courier New" w:hAnsi="Courier New"/>
          <w:sz w:val="17"/>
        </w:rPr>
        <w:t>public async Task&lt;IActionResult&gt; SubmitLoanApplication(LoanApplicationRequest dto) { ... }</w:t>
      </w:r>
    </w:p>
    <w:p>
      <w:pPr>
        <w:pStyle w:val="CodeBlock"/>
        <w:spacing w:after="0"/>
        <w:ind w:left="288"/>
      </w:pPr>
      <w:r>
        <w:rPr>
          <w:rFonts w:ascii="Courier New" w:hAnsi="Courier New"/>
          <w:sz w:val="17"/>
        </w:rPr>
      </w:r>
    </w:p>
    <w:p>
      <w:pPr>
        <w:pStyle w:val="CodeBlock"/>
        <w:spacing w:after="0"/>
        <w:ind w:left="288"/>
      </w:pPr>
      <w:r>
        <w:rPr>
          <w:rFonts w:ascii="Courier New" w:hAnsi="Courier New"/>
          <w:sz w:val="17"/>
        </w:rPr>
        <w:t>public class LoanApplicationRequest</w:t>
      </w:r>
    </w:p>
    <w:p>
      <w:pPr>
        <w:pStyle w:val="CodeBlock"/>
        <w:spacing w:after="0"/>
        <w:ind w:left="288"/>
      </w:pPr>
      <w:r>
        <w:rPr>
          <w:rFonts w:ascii="Courier New" w:hAnsi="Courier New"/>
          <w:sz w:val="17"/>
        </w:rPr>
        <w:t>{</w:t>
      </w:r>
    </w:p>
    <w:p>
      <w:pPr>
        <w:pStyle w:val="CodeBlock"/>
        <w:spacing w:after="0"/>
        <w:ind w:left="288"/>
      </w:pPr>
      <w:r>
        <w:rPr>
          <w:rFonts w:ascii="Courier New" w:hAnsi="Courier New"/>
          <w:sz w:val="17"/>
        </w:rPr>
        <w:t xml:space="preserve">    public string MemberId { get; set; }</w:t>
      </w:r>
    </w:p>
    <w:p>
      <w:pPr>
        <w:pStyle w:val="CodeBlock"/>
        <w:spacing w:after="0"/>
        <w:ind w:left="288"/>
      </w:pPr>
      <w:r>
        <w:rPr>
          <w:rFonts w:ascii="Courier New" w:hAnsi="Courier New"/>
          <w:sz w:val="17"/>
        </w:rPr>
      </w:r>
    </w:p>
    <w:p>
      <w:pPr>
        <w:pStyle w:val="CodeBlock"/>
        <w:spacing w:after="0"/>
        <w:ind w:left="288"/>
      </w:pPr>
      <w:r>
        <w:rPr>
          <w:rFonts w:ascii="Courier New" w:hAnsi="Courier New"/>
          <w:sz w:val="17"/>
        </w:rPr>
        <w:t xml:space="preserve">    [Sensitive]</w:t>
      </w:r>
    </w:p>
    <w:p>
      <w:pPr>
        <w:pStyle w:val="CodeBlock"/>
        <w:spacing w:after="0"/>
        <w:ind w:left="288"/>
      </w:pPr>
      <w:r>
        <w:rPr>
          <w:rFonts w:ascii="Courier New" w:hAnsi="Courier New"/>
          <w:sz w:val="17"/>
        </w:rPr>
        <w:t xml:space="preserve">    public string AadhaarNumber { get; set; }</w:t>
      </w:r>
    </w:p>
    <w:p>
      <w:pPr>
        <w:pStyle w:val="CodeBlock"/>
        <w:spacing w:after="0"/>
        <w:ind w:left="288"/>
      </w:pPr>
      <w:r>
        <w:rPr>
          <w:rFonts w:ascii="Courier New" w:hAnsi="Courier New"/>
          <w:sz w:val="17"/>
        </w:rPr>
      </w:r>
    </w:p>
    <w:p>
      <w:pPr>
        <w:pStyle w:val="CodeBlock"/>
        <w:spacing w:after="0"/>
        <w:ind w:left="288"/>
      </w:pPr>
      <w:r>
        <w:rPr>
          <w:rFonts w:ascii="Courier New" w:hAnsi="Courier New"/>
          <w:sz w:val="17"/>
        </w:rPr>
        <w:t xml:space="preserve">    [DoNotLog]</w:t>
      </w:r>
    </w:p>
    <w:p>
      <w:pPr>
        <w:pStyle w:val="CodeBlock"/>
        <w:spacing w:after="0"/>
        <w:ind w:left="288"/>
      </w:pPr>
      <w:r>
        <w:rPr>
          <w:rFonts w:ascii="Courier New" w:hAnsi="Courier New"/>
          <w:sz w:val="17"/>
        </w:rPr>
        <w:t xml:space="preserve">    public string RawAttachmentBase64 { get; set; }</w:t>
      </w:r>
    </w:p>
    <w:p>
      <w:pPr>
        <w:pStyle w:val="CodeBlock"/>
        <w:spacing w:after="0"/>
        <w:ind w:left="288"/>
      </w:pPr>
      <w:r>
        <w:rPr>
          <w:rFonts w:ascii="Courier New" w:hAnsi="Courier New"/>
          <w:sz w:val="17"/>
        </w:rPr>
        <w:t>}</w:t>
      </w:r>
    </w:p>
    <w:p/>
    <w:p>
      <w:pPr>
        <w:spacing w:after="80"/>
      </w:pPr>
      <w:r>
        <w:rPr>
          <w:b/>
        </w:rPr>
        <w:t>Illustrative DI abstractions:</w:t>
      </w:r>
      <w:r/>
    </w:p>
    <w:p>
      <w:pPr>
        <w:pStyle w:val="CodeBlock"/>
        <w:spacing w:after="0"/>
        <w:ind w:left="288"/>
      </w:pPr>
      <w:r>
        <w:rPr>
          <w:rFonts w:ascii="Courier New" w:hAnsi="Courier New"/>
          <w:sz w:val="17"/>
        </w:rPr>
        <w:t>public interface IAppLogger&lt;T&gt;</w:t>
      </w:r>
    </w:p>
    <w:p>
      <w:pPr>
        <w:pStyle w:val="CodeBlock"/>
        <w:spacing w:after="0"/>
        <w:ind w:left="288"/>
      </w:pPr>
      <w:r>
        <w:rPr>
          <w:rFonts w:ascii="Courier New" w:hAnsi="Courier New"/>
          <w:sz w:val="17"/>
        </w:rPr>
        <w:t>{</w:t>
      </w:r>
    </w:p>
    <w:p>
      <w:pPr>
        <w:pStyle w:val="CodeBlock"/>
        <w:spacing w:after="0"/>
        <w:ind w:left="288"/>
      </w:pPr>
      <w:r>
        <w:rPr>
          <w:rFonts w:ascii="Courier New" w:hAnsi="Courier New"/>
          <w:sz w:val="17"/>
        </w:rPr>
        <w:t xml:space="preserve">    void Debug(string messageTemplate, params object[] args);</w:t>
      </w:r>
    </w:p>
    <w:p>
      <w:pPr>
        <w:pStyle w:val="CodeBlock"/>
        <w:spacing w:after="0"/>
        <w:ind w:left="288"/>
      </w:pPr>
      <w:r>
        <w:rPr>
          <w:rFonts w:ascii="Courier New" w:hAnsi="Courier New"/>
          <w:sz w:val="17"/>
        </w:rPr>
        <w:t xml:space="preserve">    void Information(string messageTemplate, params object[] args);</w:t>
      </w:r>
    </w:p>
    <w:p>
      <w:pPr>
        <w:pStyle w:val="CodeBlock"/>
        <w:spacing w:after="0"/>
        <w:ind w:left="288"/>
      </w:pPr>
      <w:r>
        <w:rPr>
          <w:rFonts w:ascii="Courier New" w:hAnsi="Courier New"/>
          <w:sz w:val="17"/>
        </w:rPr>
        <w:t xml:space="preserve">    void Warning(string messageTemplate, params object[] args);</w:t>
      </w:r>
    </w:p>
    <w:p>
      <w:pPr>
        <w:pStyle w:val="CodeBlock"/>
        <w:spacing w:after="0"/>
        <w:ind w:left="288"/>
      </w:pPr>
      <w:r>
        <w:rPr>
          <w:rFonts w:ascii="Courier New" w:hAnsi="Courier New"/>
          <w:sz w:val="17"/>
        </w:rPr>
        <w:t xml:space="preserve">    void Error(Exception ex, string messageTemplate, params object[] args);</w:t>
      </w:r>
    </w:p>
    <w:p>
      <w:pPr>
        <w:pStyle w:val="CodeBlock"/>
        <w:spacing w:after="0"/>
        <w:ind w:left="288"/>
      </w:pPr>
      <w:r>
        <w:rPr>
          <w:rFonts w:ascii="Courier New" w:hAnsi="Courier New"/>
          <w:sz w:val="17"/>
        </w:rPr>
        <w:t xml:space="preserve">    IDisposable BeginScope(IDictionary&lt;string, object&gt; context);</w:t>
      </w:r>
    </w:p>
    <w:p>
      <w:pPr>
        <w:pStyle w:val="CodeBlock"/>
        <w:spacing w:after="0"/>
        <w:ind w:left="288"/>
      </w:pPr>
      <w:r>
        <w:rPr>
          <w:rFonts w:ascii="Courier New" w:hAnsi="Courier New"/>
          <w:sz w:val="17"/>
        </w:rPr>
        <w:t>}</w:t>
      </w:r>
    </w:p>
    <w:p>
      <w:pPr>
        <w:pStyle w:val="CodeBlock"/>
        <w:spacing w:after="0"/>
        <w:ind w:left="288"/>
      </w:pPr>
      <w:r>
        <w:rPr>
          <w:rFonts w:ascii="Courier New" w:hAnsi="Courier New"/>
          <w:sz w:val="17"/>
        </w:rPr>
      </w:r>
    </w:p>
    <w:p>
      <w:pPr>
        <w:pStyle w:val="CodeBlock"/>
        <w:spacing w:after="0"/>
        <w:ind w:left="288"/>
      </w:pPr>
      <w:r>
        <w:rPr>
          <w:rFonts w:ascii="Courier New" w:hAnsi="Courier New"/>
          <w:sz w:val="17"/>
        </w:rPr>
        <w:t>public interface IErrorFactory</w:t>
      </w:r>
    </w:p>
    <w:p>
      <w:pPr>
        <w:pStyle w:val="CodeBlock"/>
        <w:spacing w:after="0"/>
        <w:ind w:left="288"/>
      </w:pPr>
      <w:r>
        <w:rPr>
          <w:rFonts w:ascii="Courier New" w:hAnsi="Courier New"/>
          <w:sz w:val="17"/>
        </w:rPr>
        <w:t>{</w:t>
      </w:r>
    </w:p>
    <w:p>
      <w:pPr>
        <w:pStyle w:val="CodeBlock"/>
        <w:spacing w:after="0"/>
        <w:ind w:left="288"/>
      </w:pPr>
      <w:r>
        <w:rPr>
          <w:rFonts w:ascii="Courier New" w:hAnsi="Courier New"/>
          <w:sz w:val="17"/>
        </w:rPr>
        <w:t xml:space="preserve">    AppException Validation(string code, string message, params FieldError[] errors);</w:t>
      </w:r>
    </w:p>
    <w:p>
      <w:pPr>
        <w:pStyle w:val="CodeBlock"/>
        <w:spacing w:after="0"/>
        <w:ind w:left="288"/>
      </w:pPr>
      <w:r>
        <w:rPr>
          <w:rFonts w:ascii="Courier New" w:hAnsi="Courier New"/>
          <w:sz w:val="17"/>
        </w:rPr>
        <w:t xml:space="preserve">    AppException Business(string code, string message);</w:t>
      </w:r>
    </w:p>
    <w:p>
      <w:pPr>
        <w:pStyle w:val="CodeBlock"/>
        <w:spacing w:after="0"/>
        <w:ind w:left="288"/>
      </w:pPr>
      <w:r>
        <w:rPr>
          <w:rFonts w:ascii="Courier New" w:hAnsi="Courier New"/>
          <w:sz w:val="17"/>
        </w:rPr>
        <w:t xml:space="preserve">    AppException NotFound(string code, string message);</w:t>
      </w:r>
    </w:p>
    <w:p>
      <w:pPr>
        <w:pStyle w:val="CodeBlock"/>
        <w:spacing w:after="0"/>
        <w:ind w:left="288"/>
      </w:pPr>
      <w:r>
        <w:rPr>
          <w:rFonts w:ascii="Courier New" w:hAnsi="Courier New"/>
          <w:sz w:val="17"/>
        </w:rPr>
        <w:t xml:space="preserve">    AppException Integration(string code, string message, Exception? inner = null);</w:t>
      </w:r>
    </w:p>
    <w:p>
      <w:pPr>
        <w:pStyle w:val="CodeBlock"/>
        <w:spacing w:after="0"/>
        <w:ind w:left="288"/>
      </w:pPr>
      <w:r>
        <w:rPr>
          <w:rFonts w:ascii="Courier New" w:hAnsi="Courier New"/>
          <w:sz w:val="17"/>
        </w:rPr>
        <w:t>}</w:t>
      </w:r>
    </w:p>
    <w:p/>
    <w:p>
      <w:pPr>
        <w:spacing w:after="80"/>
      </w:pPr>
      <w:r>
        <w:t>Controllers and services should depend on interfaces and typed contexts only. Manual logger construction, repeated method entry logging, and catch-log-rethrow patterns should be phased out.</w:t>
      </w:r>
    </w:p>
    <w:p>
      <w:pPr>
        <w:pStyle w:val="Heading1"/>
        <w:spacing w:after="80"/>
      </w:pPr>
      <w:r>
        <w:t>18. Technical Architecture</w:t>
      </w:r>
    </w:p>
    <w:p>
      <w:pPr>
        <w:pStyle w:val="Heading2"/>
        <w:spacing w:after="80"/>
      </w:pPr>
      <w:r>
        <w:t>18.1 Inbound request pipeline</w:t>
      </w:r>
    </w:p>
    <w:p>
      <w:pPr>
        <w:pStyle w:val="ListBullet"/>
        <w:spacing w:after="30"/>
        <w:ind w:left="0"/>
      </w:pPr>
      <w:r>
        <w:t>Correlation middleware</w:t>
      </w:r>
    </w:p>
    <w:p>
      <w:pPr>
        <w:pStyle w:val="ListBullet"/>
        <w:spacing w:after="30"/>
        <w:ind w:left="0"/>
      </w:pPr>
      <w:r>
        <w:t>Exception-handling middleware</w:t>
      </w:r>
    </w:p>
    <w:p>
      <w:pPr>
        <w:pStyle w:val="ListBullet"/>
        <w:spacing w:after="30"/>
        <w:ind w:left="0"/>
      </w:pPr>
      <w:r>
        <w:t>Authentication and authorization</w:t>
      </w:r>
    </w:p>
    <w:p>
      <w:pPr>
        <w:pStyle w:val="ListBullet"/>
        <w:spacing w:after="30"/>
        <w:ind w:left="0"/>
      </w:pPr>
      <w:r>
        <w:t>User, PACS, state, and tenant enrichment</w:t>
      </w:r>
    </w:p>
    <w:p>
      <w:pPr>
        <w:pStyle w:val="ListBullet"/>
        <w:spacing w:after="30"/>
        <w:ind w:left="0"/>
      </w:pPr>
      <w:r>
        <w:t>Request logging middleware</w:t>
      </w:r>
    </w:p>
    <w:p>
      <w:pPr>
        <w:pStyle w:val="ListBullet"/>
        <w:spacing w:after="30"/>
        <w:ind w:left="0"/>
      </w:pPr>
      <w:r>
        <w:t>Endpoint execution</w:t>
      </w:r>
    </w:p>
    <w:p>
      <w:pPr>
        <w:pStyle w:val="ListBullet"/>
        <w:spacing w:after="30"/>
        <w:ind w:left="0"/>
      </w:pPr>
      <w:r>
        <w:t>Response completion logging</w:t>
      </w:r>
    </w:p>
    <w:p>
      <w:pPr>
        <w:pStyle w:val="Heading2"/>
        <w:spacing w:after="80"/>
      </w:pPr>
      <w:r>
        <w:t>18.2 Service and integration layer</w:t>
      </w:r>
    </w:p>
    <w:p>
      <w:pPr>
        <w:pStyle w:val="ListBullet"/>
        <w:spacing w:after="30"/>
        <w:ind w:left="0"/>
      </w:pPr>
      <w:r>
        <w:t>Service layer consumes IAppLogger&lt;T&gt;, IUserContextAccessor, ITenantContextAccessor, IErrorFactory, and IAuditHook where needed.</w:t>
      </w:r>
    </w:p>
    <w:p>
      <w:pPr>
        <w:pStyle w:val="ListBullet"/>
        <w:spacing w:after="30"/>
        <w:ind w:left="0"/>
      </w:pPr>
      <w:r>
        <w:t>HttpClient delegating handlers inject correlation headers and relevant safe metadata.</w:t>
      </w:r>
    </w:p>
    <w:p>
      <w:pPr>
        <w:pStyle w:val="ListBullet"/>
        <w:spacing w:after="30"/>
        <w:ind w:left="0"/>
      </w:pPr>
      <w:r>
        <w:t>Kafka producer decorators attach correlation and operation metadata into event envelopes or headers.</w:t>
      </w:r>
    </w:p>
    <w:p>
      <w:pPr>
        <w:pStyle w:val="ListBullet"/>
        <w:spacing w:after="30"/>
        <w:ind w:left="0"/>
      </w:pPr>
      <w:r>
        <w:t>Repositories may record targeted diagnostic checkpoints for high-value operations but should avoid noisy method-level logging.</w:t>
      </w:r>
    </w:p>
    <w:p>
      <w:pPr>
        <w:pStyle w:val="Heading1"/>
        <w:spacing w:after="80"/>
      </w:pPr>
      <w:r>
        <w:t>19. Configuration Model</w:t>
      </w:r>
    </w:p>
    <w:p>
      <w:pPr>
        <w:pStyle w:val="CodeBlock"/>
        <w:spacing w:after="0"/>
        <w:ind w:left="288"/>
      </w:pPr>
      <w:r>
        <w:rPr>
          <w:rFonts w:ascii="Courier New" w:hAnsi="Courier New"/>
          <w:sz w:val="17"/>
        </w:rPr>
        <w:t>{</w:t>
      </w:r>
    </w:p>
    <w:p>
      <w:pPr>
        <w:pStyle w:val="CodeBlock"/>
        <w:spacing w:after="0"/>
        <w:ind w:left="288"/>
      </w:pPr>
      <w:r>
        <w:rPr>
          <w:rFonts w:ascii="Courier New" w:hAnsi="Courier New"/>
          <w:sz w:val="17"/>
        </w:rPr>
        <w:t xml:space="preserve">  "Observability": {</w:t>
      </w:r>
    </w:p>
    <w:p>
      <w:pPr>
        <w:pStyle w:val="CodeBlock"/>
        <w:spacing w:after="0"/>
        <w:ind w:left="288"/>
      </w:pPr>
      <w:r>
        <w:rPr>
          <w:rFonts w:ascii="Courier New" w:hAnsi="Courier New"/>
          <w:sz w:val="17"/>
        </w:rPr>
        <w:t xml:space="preserve">    "ApplicationName": "ERP",</w:t>
      </w:r>
    </w:p>
    <w:p>
      <w:pPr>
        <w:pStyle w:val="CodeBlock"/>
        <w:spacing w:after="0"/>
        <w:ind w:left="288"/>
      </w:pPr>
      <w:r>
        <w:rPr>
          <w:rFonts w:ascii="Courier New" w:hAnsi="Courier New"/>
          <w:sz w:val="17"/>
        </w:rPr>
        <w:t xml:space="preserve">    "Environment": "Prod",</w:t>
      </w:r>
    </w:p>
    <w:p>
      <w:pPr>
        <w:pStyle w:val="CodeBlock"/>
        <w:spacing w:after="0"/>
        <w:ind w:left="288"/>
      </w:pPr>
      <w:r>
        <w:rPr>
          <w:rFonts w:ascii="Courier New" w:hAnsi="Courier New"/>
          <w:sz w:val="17"/>
        </w:rPr>
        <w:t xml:space="preserve">    "DefaultMinimumLevel": "Information",</w:t>
      </w:r>
    </w:p>
    <w:p>
      <w:pPr>
        <w:pStyle w:val="CodeBlock"/>
        <w:spacing w:after="0"/>
        <w:ind w:left="288"/>
      </w:pPr>
      <w:r>
        <w:rPr>
          <w:rFonts w:ascii="Courier New" w:hAnsi="Courier New"/>
          <w:sz w:val="17"/>
        </w:rPr>
        <w:t xml:space="preserve">    "EnableRequestBodyLogging": false,</w:t>
      </w:r>
    </w:p>
    <w:p>
      <w:pPr>
        <w:pStyle w:val="CodeBlock"/>
        <w:spacing w:after="0"/>
        <w:ind w:left="288"/>
      </w:pPr>
      <w:r>
        <w:rPr>
          <w:rFonts w:ascii="Courier New" w:hAnsi="Courier New"/>
          <w:sz w:val="17"/>
        </w:rPr>
        <w:t xml:space="preserve">    "EnableResponseBodyLogging": false,</w:t>
      </w:r>
    </w:p>
    <w:p>
      <w:pPr>
        <w:pStyle w:val="CodeBlock"/>
        <w:spacing w:after="0"/>
        <w:ind w:left="288"/>
      </w:pPr>
      <w:r>
        <w:rPr>
          <w:rFonts w:ascii="Courier New" w:hAnsi="Courier New"/>
          <w:sz w:val="17"/>
        </w:rPr>
        <w:t xml:space="preserve">    "MaskSensitiveFields": true,</w:t>
      </w:r>
    </w:p>
    <w:p>
      <w:pPr>
        <w:pStyle w:val="CodeBlock"/>
        <w:spacing w:after="0"/>
        <w:ind w:left="288"/>
      </w:pPr>
      <w:r>
        <w:rPr>
          <w:rFonts w:ascii="Courier New" w:hAnsi="Courier New"/>
          <w:sz w:val="17"/>
        </w:rPr>
        <w:t xml:space="preserve">    "CaptureUserContext": true,</w:t>
      </w:r>
    </w:p>
    <w:p>
      <w:pPr>
        <w:pStyle w:val="CodeBlock"/>
        <w:spacing w:after="0"/>
        <w:ind w:left="288"/>
      </w:pPr>
      <w:r>
        <w:rPr>
          <w:rFonts w:ascii="Courier New" w:hAnsi="Courier New"/>
          <w:sz w:val="17"/>
        </w:rPr>
        <w:t xml:space="preserve">    "CapturePacsContext": true,</w:t>
      </w:r>
    </w:p>
    <w:p>
      <w:pPr>
        <w:pStyle w:val="CodeBlock"/>
        <w:spacing w:after="0"/>
        <w:ind w:left="288"/>
      </w:pPr>
      <w:r>
        <w:rPr>
          <w:rFonts w:ascii="Courier New" w:hAnsi="Courier New"/>
          <w:sz w:val="17"/>
        </w:rPr>
        <w:t xml:space="preserve">    "ModuleOverrides": {</w:t>
      </w:r>
    </w:p>
    <w:p>
      <w:pPr>
        <w:pStyle w:val="CodeBlock"/>
        <w:spacing w:after="0"/>
        <w:ind w:left="288"/>
      </w:pPr>
      <w:r>
        <w:rPr>
          <w:rFonts w:ascii="Courier New" w:hAnsi="Courier New"/>
          <w:sz w:val="17"/>
        </w:rPr>
        <w:t xml:space="preserve">      "Loans": "Information",</w:t>
      </w:r>
    </w:p>
    <w:p>
      <w:pPr>
        <w:pStyle w:val="CodeBlock"/>
        <w:spacing w:after="0"/>
        <w:ind w:left="288"/>
      </w:pPr>
      <w:r>
        <w:rPr>
          <w:rFonts w:ascii="Courier New" w:hAnsi="Courier New"/>
          <w:sz w:val="17"/>
        </w:rPr>
        <w:t xml:space="preserve">      "Auth": "Warning",</w:t>
      </w:r>
    </w:p>
    <w:p>
      <w:pPr>
        <w:pStyle w:val="CodeBlock"/>
        <w:spacing w:after="0"/>
        <w:ind w:left="288"/>
      </w:pPr>
      <w:r>
        <w:rPr>
          <w:rFonts w:ascii="Courier New" w:hAnsi="Courier New"/>
          <w:sz w:val="17"/>
        </w:rPr>
        <w:t xml:space="preserve">      "BackgroundJobs": "Debug"</w:t>
      </w:r>
    </w:p>
    <w:p>
      <w:pPr>
        <w:pStyle w:val="CodeBlock"/>
        <w:spacing w:after="0"/>
        <w:ind w:left="288"/>
      </w:pPr>
      <w:r>
        <w:rPr>
          <w:rFonts w:ascii="Courier New" w:hAnsi="Courier New"/>
          <w:sz w:val="17"/>
        </w:rPr>
        <w:t xml:space="preserve">    }</w:t>
      </w:r>
    </w:p>
    <w:p>
      <w:pPr>
        <w:pStyle w:val="CodeBlock"/>
        <w:spacing w:after="0"/>
        <w:ind w:left="288"/>
      </w:pPr>
      <w:r>
        <w:rPr>
          <w:rFonts w:ascii="Courier New" w:hAnsi="Courier New"/>
          <w:sz w:val="17"/>
        </w:rPr>
        <w:t xml:space="preserve">  },</w:t>
      </w:r>
    </w:p>
    <w:p>
      <w:pPr>
        <w:pStyle w:val="CodeBlock"/>
        <w:spacing w:after="0"/>
        <w:ind w:left="288"/>
      </w:pPr>
      <w:r>
        <w:rPr>
          <w:rFonts w:ascii="Courier New" w:hAnsi="Courier New"/>
          <w:sz w:val="17"/>
        </w:rPr>
        <w:t xml:space="preserve">  "ErrorHandling": {</w:t>
      </w:r>
    </w:p>
    <w:p>
      <w:pPr>
        <w:pStyle w:val="CodeBlock"/>
        <w:spacing w:after="0"/>
        <w:ind w:left="288"/>
      </w:pPr>
      <w:r>
        <w:rPr>
          <w:rFonts w:ascii="Courier New" w:hAnsi="Courier New"/>
          <w:sz w:val="17"/>
        </w:rPr>
        <w:t xml:space="preserve">    "IncludeExceptionDetailsInResponse": false,</w:t>
      </w:r>
    </w:p>
    <w:p>
      <w:pPr>
        <w:pStyle w:val="CodeBlock"/>
        <w:spacing w:after="0"/>
        <w:ind w:left="288"/>
      </w:pPr>
      <w:r>
        <w:rPr>
          <w:rFonts w:ascii="Courier New" w:hAnsi="Courier New"/>
          <w:sz w:val="17"/>
        </w:rPr>
        <w:t xml:space="preserve">    "ReturnProblemDetails": true,</w:t>
      </w:r>
    </w:p>
    <w:p>
      <w:pPr>
        <w:pStyle w:val="CodeBlock"/>
        <w:spacing w:after="0"/>
        <w:ind w:left="288"/>
      </w:pPr>
      <w:r>
        <w:rPr>
          <w:rFonts w:ascii="Courier New" w:hAnsi="Courier New"/>
          <w:sz w:val="17"/>
        </w:rPr>
        <w:t xml:space="preserve">    "DefaultErrorCode": "ERP-CORE-SYS-0001"</w:t>
      </w:r>
    </w:p>
    <w:p>
      <w:pPr>
        <w:pStyle w:val="CodeBlock"/>
        <w:spacing w:after="0"/>
        <w:ind w:left="288"/>
      </w:pPr>
      <w:r>
        <w:rPr>
          <w:rFonts w:ascii="Courier New" w:hAnsi="Courier New"/>
          <w:sz w:val="17"/>
        </w:rPr>
        <w:t xml:space="preserve">  }</w:t>
      </w:r>
    </w:p>
    <w:p>
      <w:pPr>
        <w:pStyle w:val="CodeBlock"/>
        <w:spacing w:after="0"/>
        <w:ind w:left="288"/>
      </w:pPr>
      <w:r>
        <w:rPr>
          <w:rFonts w:ascii="Courier New" w:hAnsi="Courier New"/>
          <w:sz w:val="17"/>
        </w:rPr>
        <w:t>}</w:t>
      </w:r>
    </w:p>
    <w:p/>
    <w:p>
      <w:pPr>
        <w:spacing w:after="80"/>
      </w:pPr>
      <w:r>
        <w:t>Configuration should be environment-aware and support safe defaults. Production settings should be conservative, while lower environments may selectively increase detail for diagnosis.</w:t>
      </w:r>
    </w:p>
    <w:p>
      <w:pPr>
        <w:pStyle w:val="Heading1"/>
        <w:spacing w:after="80"/>
      </w:pPr>
      <w:r>
        <w:t>20. Module Adoption Strategy</w:t>
      </w:r>
    </w:p>
    <w:p>
      <w:pPr>
        <w:spacing w:after="80"/>
      </w:pPr>
      <w:r>
        <w:t>The recommended rollout is incremental. Build the shared utility first, then retrofit one high-value module, then generalize the pattern across the ERP.</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296"/>
            <w:shd w:fill="D9EAF7"/>
            <w:vAlign w:val="center"/>
          </w:tcPr>
          <w:p>
            <w:r>
              <w:rPr>
                <w:b/>
                <w:sz w:val="19"/>
              </w:rPr>
              <w:t>Phase</w:t>
            </w:r>
          </w:p>
        </w:tc>
        <w:tc>
          <w:tcPr>
            <w:tcW w:type="dxa" w:w="3168"/>
            <w:shd w:fill="D9EAF7"/>
            <w:vAlign w:val="center"/>
          </w:tcPr>
          <w:p>
            <w:r>
              <w:rPr>
                <w:b/>
                <w:sz w:val="19"/>
              </w:rPr>
              <w:t>Target</w:t>
            </w:r>
          </w:p>
        </w:tc>
        <w:tc>
          <w:tcPr>
            <w:tcW w:type="dxa" w:w="4608"/>
            <w:shd w:fill="D9EAF7"/>
            <w:vAlign w:val="center"/>
          </w:tcPr>
          <w:p>
            <w:r>
              <w:rPr>
                <w:b/>
                <w:sz w:val="19"/>
              </w:rPr>
              <w:t>Expected Outcome</w:t>
            </w:r>
          </w:p>
        </w:tc>
      </w:tr>
      <w:tr>
        <w:tc>
          <w:tcPr>
            <w:tcW w:type="dxa" w:w="1296"/>
            <w:vAlign w:val="center"/>
          </w:tcPr>
          <w:p>
            <w:r>
              <w:rPr>
                <w:sz w:val="18"/>
              </w:rPr>
              <w:t>Phase 1</w:t>
            </w:r>
          </w:p>
        </w:tc>
        <w:tc>
          <w:tcPr>
            <w:tcW w:type="dxa" w:w="3168"/>
            <w:vAlign w:val="center"/>
          </w:tcPr>
          <w:p>
            <w:r>
              <w:rPr>
                <w:sz w:val="18"/>
              </w:rPr>
              <w:t>Shared utility foundation</w:t>
            </w:r>
          </w:p>
        </w:tc>
        <w:tc>
          <w:tcPr>
            <w:tcW w:type="dxa" w:w="4608"/>
            <w:vAlign w:val="center"/>
          </w:tcPr>
          <w:p>
            <w:r>
              <w:rPr>
                <w:sz w:val="18"/>
              </w:rPr>
              <w:t>Middleware, abstractions, error contract, masking, Serilog sinks, configuration, test coverage</w:t>
            </w:r>
          </w:p>
        </w:tc>
      </w:tr>
      <w:tr>
        <w:tc>
          <w:tcPr>
            <w:tcW w:type="dxa" w:w="1296"/>
            <w:vAlign w:val="center"/>
          </w:tcPr>
          <w:p>
            <w:r>
              <w:rPr>
                <w:sz w:val="18"/>
              </w:rPr>
              <w:t>Phase 2</w:t>
            </w:r>
          </w:p>
        </w:tc>
        <w:tc>
          <w:tcPr>
            <w:tcW w:type="dxa" w:w="3168"/>
            <w:vAlign w:val="center"/>
          </w:tcPr>
          <w:p>
            <w:r>
              <w:rPr>
                <w:sz w:val="18"/>
              </w:rPr>
              <w:t>Pilot retrofit in Loans or Membership</w:t>
            </w:r>
          </w:p>
        </w:tc>
        <w:tc>
          <w:tcPr>
            <w:tcW w:type="dxa" w:w="4608"/>
            <w:vAlign w:val="center"/>
          </w:tcPr>
          <w:p>
            <w:r>
              <w:rPr>
                <w:sz w:val="18"/>
              </w:rPr>
              <w:t>Validated pattern for controllers, services, validation, errors, and business checkpoints</w:t>
            </w:r>
          </w:p>
        </w:tc>
      </w:tr>
      <w:tr>
        <w:tc>
          <w:tcPr>
            <w:tcW w:type="dxa" w:w="1296"/>
            <w:vAlign w:val="center"/>
          </w:tcPr>
          <w:p>
            <w:r>
              <w:rPr>
                <w:sz w:val="18"/>
              </w:rPr>
              <w:t>Phase 3</w:t>
            </w:r>
          </w:p>
        </w:tc>
        <w:tc>
          <w:tcPr>
            <w:tcW w:type="dxa" w:w="3168"/>
            <w:vAlign w:val="center"/>
          </w:tcPr>
          <w:p>
            <w:r>
              <w:rPr>
                <w:sz w:val="18"/>
              </w:rPr>
              <w:t>Cross-module expansion</w:t>
            </w:r>
          </w:p>
        </w:tc>
        <w:tc>
          <w:tcPr>
            <w:tcW w:type="dxa" w:w="4608"/>
            <w:vAlign w:val="center"/>
          </w:tcPr>
          <w:p>
            <w:r>
              <w:rPr>
                <w:sz w:val="18"/>
              </w:rPr>
              <w:t>Shared pattern adopted in remaining ERP modules with module-specific error catalogs</w:t>
            </w:r>
          </w:p>
        </w:tc>
      </w:tr>
      <w:tr>
        <w:tc>
          <w:tcPr>
            <w:tcW w:type="dxa" w:w="1296"/>
            <w:vAlign w:val="center"/>
          </w:tcPr>
          <w:p>
            <w:r>
              <w:rPr>
                <w:sz w:val="18"/>
              </w:rPr>
              <w:t>Phase 4</w:t>
            </w:r>
          </w:p>
        </w:tc>
        <w:tc>
          <w:tcPr>
            <w:tcW w:type="dxa" w:w="3168"/>
            <w:vAlign w:val="center"/>
          </w:tcPr>
          <w:p>
            <w:r>
              <w:rPr>
                <w:sz w:val="18"/>
              </w:rPr>
              <w:t>Traceability hardening</w:t>
            </w:r>
          </w:p>
        </w:tc>
        <w:tc>
          <w:tcPr>
            <w:tcW w:type="dxa" w:w="4608"/>
            <w:vAlign w:val="center"/>
          </w:tcPr>
          <w:p>
            <w:r>
              <w:rPr>
                <w:sz w:val="18"/>
              </w:rPr>
              <w:t>Audit hooks, dashboards, alerting, analyzer rules, and broader program adoption</w:t>
            </w:r>
          </w:p>
        </w:tc>
      </w:tr>
    </w:tbl>
    <w:p/>
    <w:p>
      <w:pPr>
        <w:pStyle w:val="Heading1"/>
        <w:spacing w:after="80"/>
      </w:pPr>
      <w:r>
        <w:t>21. Migration Rules for Existing Code</w:t>
      </w:r>
    </w:p>
    <w:p>
      <w:pPr>
        <w:pStyle w:val="ListBullet"/>
        <w:spacing w:after="30"/>
        <w:ind w:left="0"/>
      </w:pPr>
      <w:r>
        <w:t>Remove generic method entry and method exit logs except where a business checkpoint is genuinely required.</w:t>
      </w:r>
    </w:p>
    <w:p>
      <w:pPr>
        <w:pStyle w:val="ListBullet"/>
        <w:spacing w:after="30"/>
        <w:ind w:left="0"/>
      </w:pPr>
      <w:r>
        <w:t>Replace string concatenation with structured message templates.</w:t>
      </w:r>
    </w:p>
    <w:p>
      <w:pPr>
        <w:pStyle w:val="ListBullet"/>
        <w:spacing w:after="30"/>
        <w:ind w:left="0"/>
      </w:pPr>
      <w:r>
        <w:t>Remove try/catch blocks that only log and rethrow; allow the global middleware to handle response mapping.</w:t>
      </w:r>
    </w:p>
    <w:p>
      <w:pPr>
        <w:pStyle w:val="ListBullet"/>
        <w:spacing w:after="30"/>
        <w:ind w:left="0"/>
      </w:pPr>
      <w:r>
        <w:t>Replace direct object creation with constructor injection where DI should own the lifecycle.</w:t>
      </w:r>
    </w:p>
    <w:p>
      <w:pPr>
        <w:pStyle w:val="ListBullet"/>
        <w:spacing w:after="30"/>
        <w:ind w:left="0"/>
      </w:pPr>
      <w:r>
        <w:t>Move request validation to DTO and API boundary validation instead of scattered in-method checks.</w:t>
      </w:r>
    </w:p>
    <w:p>
      <w:pPr>
        <w:pStyle w:val="ListBullet"/>
        <w:spacing w:after="30"/>
        <w:ind w:left="0"/>
      </w:pPr>
      <w:r>
        <w:t>Replace hardcoded free-text errors with catalog-backed codes and messages.</w:t>
      </w:r>
    </w:p>
    <w:p>
      <w:pPr>
        <w:pStyle w:val="Heading1"/>
        <w:spacing w:after="80"/>
      </w:pPr>
      <w:r>
        <w:t>22. Acceptance Criteria</w:t>
      </w:r>
    </w:p>
    <w:p>
      <w:pPr>
        <w:pStyle w:val="ListBullet"/>
        <w:spacing w:after="30"/>
        <w:ind w:left="0"/>
      </w:pPr>
      <w:r>
        <w:t>Every inbound API request results in a correlation id, even when not supplied by the caller.</w:t>
      </w:r>
    </w:p>
    <w:p>
      <w:pPr>
        <w:pStyle w:val="ListBullet"/>
        <w:spacing w:after="30"/>
        <w:ind w:left="0"/>
      </w:pPr>
      <w:r>
        <w:t>Every request emits start and completion logs with status and duration.</w:t>
      </w:r>
    </w:p>
    <w:p>
      <w:pPr>
        <w:pStyle w:val="ListBullet"/>
        <w:spacing w:after="30"/>
        <w:ind w:left="0"/>
      </w:pPr>
      <w:r>
        <w:t>Unhandled exceptions are transformed into standard response objects with stable error codes and correlation ids.</w:t>
      </w:r>
    </w:p>
    <w:p>
      <w:pPr>
        <w:pStyle w:val="ListBullet"/>
        <w:spacing w:after="30"/>
        <w:ind w:left="0"/>
      </w:pPr>
      <w:r>
        <w:t>At least one pilot module is fully retrofitted without business regression.</w:t>
      </w:r>
    </w:p>
    <w:p>
      <w:pPr>
        <w:pStyle w:val="ListBullet"/>
        <w:spacing w:after="30"/>
        <w:ind w:left="0"/>
      </w:pPr>
      <w:r>
        <w:t>No sensitive secrets or raw regulated identifiers appear in standard production logs.</w:t>
      </w:r>
    </w:p>
    <w:p>
      <w:pPr>
        <w:pStyle w:val="ListBullet"/>
        <w:spacing w:after="30"/>
        <w:ind w:left="0"/>
      </w:pPr>
      <w:r>
        <w:t>ELK can filter on environment, module, correlationId, errorCode, PACS, and state fields.</w:t>
      </w:r>
    </w:p>
    <w:p>
      <w:pPr>
        <w:pStyle w:val="ListBullet"/>
        <w:spacing w:after="30"/>
        <w:ind w:left="0"/>
      </w:pPr>
      <w:r>
        <w:t>Unit and integration tests cover middleware behavior, masking, propagation, and exception mapping.</w:t>
      </w:r>
    </w:p>
    <w:p>
      <w:pPr>
        <w:pStyle w:val="Heading1"/>
        <w:spacing w:after="80"/>
      </w:pPr>
      <w:r>
        <w:t>23. Non-Functional Requirements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728"/>
            <w:shd w:fill="D9EAF7"/>
            <w:vAlign w:val="center"/>
          </w:tcPr>
          <w:p>
            <w:r>
              <w:rPr>
                <w:b/>
                <w:sz w:val="19"/>
              </w:rPr>
              <w:t>Category</w:t>
            </w:r>
          </w:p>
        </w:tc>
        <w:tc>
          <w:tcPr>
            <w:tcW w:type="dxa" w:w="7200"/>
            <w:shd w:fill="D9EAF7"/>
            <w:vAlign w:val="center"/>
          </w:tcPr>
          <w:p>
            <w:r>
              <w:rPr>
                <w:b/>
                <w:sz w:val="19"/>
              </w:rPr>
              <w:t>Requirement</w:t>
            </w:r>
          </w:p>
        </w:tc>
      </w:tr>
      <w:tr>
        <w:tc>
          <w:tcPr>
            <w:tcW w:type="dxa" w:w="1728"/>
            <w:vAlign w:val="center"/>
          </w:tcPr>
          <w:p>
            <w:r>
              <w:rPr>
                <w:sz w:val="18"/>
              </w:rPr>
              <w:t>Performance</w:t>
            </w:r>
          </w:p>
        </w:tc>
        <w:tc>
          <w:tcPr>
            <w:tcW w:type="dxa" w:w="7200"/>
            <w:vAlign w:val="center"/>
          </w:tcPr>
          <w:p>
            <w:r>
              <w:rPr>
                <w:sz w:val="18"/>
              </w:rPr>
              <w:t>Logging should be lightweight and primarily asynchronous; sink outages must not block business flow.</w:t>
            </w:r>
          </w:p>
        </w:tc>
      </w:tr>
      <w:tr>
        <w:tc>
          <w:tcPr>
            <w:tcW w:type="dxa" w:w="1728"/>
            <w:vAlign w:val="center"/>
          </w:tcPr>
          <w:p>
            <w:r>
              <w:rPr>
                <w:sz w:val="18"/>
              </w:rPr>
              <w:t>Availability</w:t>
            </w:r>
          </w:p>
        </w:tc>
        <w:tc>
          <w:tcPr>
            <w:tcW w:type="dxa" w:w="7200"/>
            <w:vAlign w:val="center"/>
          </w:tcPr>
          <w:p>
            <w:r>
              <w:rPr>
                <w:sz w:val="18"/>
              </w:rPr>
              <w:t>The application must continue functioning even when a log sink is degraded or unavailable.</w:t>
            </w:r>
          </w:p>
        </w:tc>
      </w:tr>
      <w:tr>
        <w:tc>
          <w:tcPr>
            <w:tcW w:type="dxa" w:w="1728"/>
            <w:vAlign w:val="center"/>
          </w:tcPr>
          <w:p>
            <w:r>
              <w:rPr>
                <w:sz w:val="18"/>
              </w:rPr>
              <w:t>Security</w:t>
            </w:r>
          </w:p>
        </w:tc>
        <w:tc>
          <w:tcPr>
            <w:tcW w:type="dxa" w:w="7200"/>
            <w:vAlign w:val="center"/>
          </w:tcPr>
          <w:p>
            <w:r>
              <w:rPr>
                <w:sz w:val="18"/>
              </w:rPr>
              <w:t>No stack trace or internal exception details must leak to consumer responses in production.</w:t>
            </w:r>
          </w:p>
        </w:tc>
      </w:tr>
      <w:tr>
        <w:tc>
          <w:tcPr>
            <w:tcW w:type="dxa" w:w="1728"/>
            <w:vAlign w:val="center"/>
          </w:tcPr>
          <w:p>
            <w:r>
              <w:rPr>
                <w:sz w:val="18"/>
              </w:rPr>
              <w:t>Maintainability</w:t>
            </w:r>
          </w:p>
        </w:tc>
        <w:tc>
          <w:tcPr>
            <w:tcW w:type="dxa" w:w="7200"/>
            <w:vAlign w:val="center"/>
          </w:tcPr>
          <w:p>
            <w:r>
              <w:rPr>
                <w:sz w:val="18"/>
              </w:rPr>
              <w:t>The pattern must be easy to adopt and hard to misuse, with shared abstractions and examples.</w:t>
            </w:r>
          </w:p>
        </w:tc>
      </w:tr>
      <w:tr>
        <w:tc>
          <w:tcPr>
            <w:tcW w:type="dxa" w:w="1728"/>
            <w:vAlign w:val="center"/>
          </w:tcPr>
          <w:p>
            <w:r>
              <w:rPr>
                <w:sz w:val="18"/>
              </w:rPr>
              <w:t>Extensibility</w:t>
            </w:r>
          </w:p>
        </w:tc>
        <w:tc>
          <w:tcPr>
            <w:tcW w:type="dxa" w:w="7200"/>
            <w:vAlign w:val="center"/>
          </w:tcPr>
          <w:p>
            <w:r>
              <w:rPr>
                <w:sz w:val="18"/>
              </w:rPr>
              <w:t>The design must remain compatible with OpenTelemetry, richer audit hooks, and future observability tools.</w:t>
            </w:r>
          </w:p>
        </w:tc>
      </w:tr>
      <w:tr>
        <w:tc>
          <w:tcPr>
            <w:tcW w:type="dxa" w:w="1728"/>
            <w:vAlign w:val="center"/>
          </w:tcPr>
          <w:p>
            <w:r>
              <w:rPr>
                <w:sz w:val="18"/>
              </w:rPr>
              <w:t>Compliance</w:t>
            </w:r>
          </w:p>
        </w:tc>
        <w:tc>
          <w:tcPr>
            <w:tcW w:type="dxa" w:w="7200"/>
            <w:vAlign w:val="center"/>
          </w:tcPr>
          <w:p>
            <w:r>
              <w:rPr>
                <w:sz w:val="18"/>
              </w:rPr>
              <w:t>Retention, masking, and access to logs must remain policy-driven and controllable.</w:t>
            </w:r>
          </w:p>
        </w:tc>
      </w:tr>
    </w:tbl>
    <w:p/>
    <w:p>
      <w:pPr>
        <w:pStyle w:val="Heading1"/>
        <w:spacing w:after="80"/>
      </w:pPr>
      <w:r>
        <w:t>24. Testing Strategy</w:t>
      </w:r>
    </w:p>
    <w:p>
      <w:pPr>
        <w:pStyle w:val="ListBullet"/>
        <w:spacing w:after="30"/>
        <w:ind w:left="0"/>
      </w:pPr>
      <w:r>
        <w:t>Unit tests for correlation generation and propagation.</w:t>
      </w:r>
    </w:p>
    <w:p>
      <w:pPr>
        <w:pStyle w:val="ListBullet"/>
        <w:spacing w:after="30"/>
        <w:ind w:left="0"/>
      </w:pPr>
      <w:r>
        <w:t>Unit tests for exception mapping and error-response shape.</w:t>
      </w:r>
    </w:p>
    <w:p>
      <w:pPr>
        <w:pStyle w:val="ListBullet"/>
        <w:spacing w:after="30"/>
        <w:ind w:left="0"/>
      </w:pPr>
      <w:r>
        <w:t>Unit tests for masking and suppression of sensitive fields.</w:t>
      </w:r>
    </w:p>
    <w:p>
      <w:pPr>
        <w:pStyle w:val="ListBullet"/>
        <w:spacing w:after="30"/>
        <w:ind w:left="0"/>
      </w:pPr>
      <w:r>
        <w:t>Integration tests for middleware order and behavior.</w:t>
      </w:r>
    </w:p>
    <w:p>
      <w:pPr>
        <w:pStyle w:val="ListBullet"/>
        <w:spacing w:after="30"/>
        <w:ind w:left="0"/>
      </w:pPr>
      <w:r>
        <w:t>Module-level regression tests for the pilot retrofit.</w:t>
      </w:r>
    </w:p>
    <w:p>
      <w:pPr>
        <w:pStyle w:val="ListBullet"/>
        <w:spacing w:after="30"/>
        <w:ind w:left="0"/>
      </w:pPr>
      <w:r>
        <w:t>Verification of log field structure using sample sink output.</w:t>
      </w:r>
    </w:p>
    <w:p>
      <w:pPr>
        <w:pStyle w:val="Heading1"/>
        <w:spacing w:after="80"/>
      </w:pPr>
      <w:r>
        <w:t>25. Risks and Mitigations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456"/>
            <w:shd w:fill="D9EAF7"/>
            <w:vAlign w:val="center"/>
          </w:tcPr>
          <w:p>
            <w:r>
              <w:rPr>
                <w:b/>
                <w:sz w:val="19"/>
              </w:rPr>
              <w:t>Risk</w:t>
            </w:r>
          </w:p>
        </w:tc>
        <w:tc>
          <w:tcPr>
            <w:tcW w:type="dxa" w:w="5472"/>
            <w:shd w:fill="D9EAF7"/>
            <w:vAlign w:val="center"/>
          </w:tcPr>
          <w:p>
            <w:r>
              <w:rPr>
                <w:b/>
                <w:sz w:val="19"/>
              </w:rPr>
              <w:t>Mitigation</w:t>
            </w:r>
          </w:p>
        </w:tc>
      </w:tr>
      <w:tr>
        <w:tc>
          <w:tcPr>
            <w:tcW w:type="dxa" w:w="3456"/>
            <w:vAlign w:val="center"/>
          </w:tcPr>
          <w:p>
            <w:r>
              <w:rPr>
                <w:sz w:val="18"/>
              </w:rPr>
              <w:t>Teams continue manual logging patterns</w:t>
            </w:r>
          </w:p>
        </w:tc>
        <w:tc>
          <w:tcPr>
            <w:tcW w:type="dxa" w:w="5472"/>
            <w:vAlign w:val="center"/>
          </w:tcPr>
          <w:p>
            <w:r>
              <w:rPr>
                <w:sz w:val="18"/>
              </w:rPr>
              <w:t>Provide analyzers, code review checklists, examples, and a pilot reference implementation.</w:t>
            </w:r>
          </w:p>
        </w:tc>
      </w:tr>
      <w:tr>
        <w:tc>
          <w:tcPr>
            <w:tcW w:type="dxa" w:w="3456"/>
            <w:vAlign w:val="center"/>
          </w:tcPr>
          <w:p>
            <w:r>
              <w:rPr>
                <w:sz w:val="18"/>
              </w:rPr>
              <w:t>Too much data is logged</w:t>
            </w:r>
          </w:p>
        </w:tc>
        <w:tc>
          <w:tcPr>
            <w:tcW w:type="dxa" w:w="5472"/>
            <w:vAlign w:val="center"/>
          </w:tcPr>
          <w:p>
            <w:r>
              <w:rPr>
                <w:sz w:val="18"/>
              </w:rPr>
              <w:t>Disable body logging by default, require whitelist-based opt-in, and enforce masking attributes.</w:t>
            </w:r>
          </w:p>
        </w:tc>
      </w:tr>
      <w:tr>
        <w:tc>
          <w:tcPr>
            <w:tcW w:type="dxa" w:w="3456"/>
            <w:vAlign w:val="center"/>
          </w:tcPr>
          <w:p>
            <w:r>
              <w:rPr>
                <w:sz w:val="18"/>
              </w:rPr>
              <w:t>Legacy code is difficult to retrofit quickly</w:t>
            </w:r>
          </w:p>
        </w:tc>
        <w:tc>
          <w:tcPr>
            <w:tcW w:type="dxa" w:w="5472"/>
            <w:vAlign w:val="center"/>
          </w:tcPr>
          <w:p>
            <w:r>
              <w:rPr>
                <w:sz w:val="18"/>
              </w:rPr>
              <w:t>Adopt a phased rollout with adapters and selective refactoring by confidence level.</w:t>
            </w:r>
          </w:p>
        </w:tc>
      </w:tr>
      <w:tr>
        <w:tc>
          <w:tcPr>
            <w:tcW w:type="dxa" w:w="3456"/>
            <w:vAlign w:val="center"/>
          </w:tcPr>
          <w:p>
            <w:r>
              <w:rPr>
                <w:sz w:val="18"/>
              </w:rPr>
              <w:t>ELK or downstream sinks fail</w:t>
            </w:r>
          </w:p>
        </w:tc>
        <w:tc>
          <w:tcPr>
            <w:tcW w:type="dxa" w:w="5472"/>
            <w:vAlign w:val="center"/>
          </w:tcPr>
          <w:p>
            <w:r>
              <w:rPr>
                <w:sz w:val="18"/>
              </w:rPr>
              <w:t>Use asynchronous and fallback sink patterns; logs must not break transactions.</w:t>
            </w:r>
          </w:p>
        </w:tc>
      </w:tr>
      <w:tr>
        <w:tc>
          <w:tcPr>
            <w:tcW w:type="dxa" w:w="3456"/>
            <w:vAlign w:val="center"/>
          </w:tcPr>
          <w:p>
            <w:r>
              <w:rPr>
                <w:sz w:val="18"/>
              </w:rPr>
              <w:t>Support needs more detail than users</w:t>
            </w:r>
          </w:p>
        </w:tc>
        <w:tc>
          <w:tcPr>
            <w:tcW w:type="dxa" w:w="5472"/>
            <w:vAlign w:val="center"/>
          </w:tcPr>
          <w:p>
            <w:r>
              <w:rPr>
                <w:sz w:val="18"/>
              </w:rPr>
              <w:t>Separate consumer-safe responses from support-facing and developer-facing diagnostics.</w:t>
            </w:r>
          </w:p>
        </w:tc>
      </w:tr>
    </w:tbl>
    <w:p/>
    <w:p>
      <w:pPr>
        <w:pStyle w:val="Heading1"/>
        <w:spacing w:after="80"/>
      </w:pPr>
      <w:r>
        <w:t>26. Recommended Backlog for Cursor Execution</w:t>
      </w:r>
    </w:p>
    <w:p>
      <w:pPr>
        <w:pStyle w:val="ListNumber"/>
        <w:spacing w:after="30"/>
        <w:ind w:left="0"/>
      </w:pPr>
      <w:r>
        <w:t>Create shared package structure and base contracts.</w:t>
      </w:r>
    </w:p>
    <w:p>
      <w:pPr>
        <w:pStyle w:val="ListNumber"/>
        <w:spacing w:after="30"/>
        <w:ind w:left="0"/>
      </w:pPr>
      <w:r>
        <w:t>Implement correlation, request logging, and exception middleware.</w:t>
      </w:r>
    </w:p>
    <w:p>
      <w:pPr>
        <w:pStyle w:val="ListNumber"/>
        <w:spacing w:after="30"/>
        <w:ind w:left="0"/>
      </w:pPr>
      <w:r>
        <w:t>Create exception hierarchy, error catalog, and response contract.</w:t>
      </w:r>
    </w:p>
    <w:p>
      <w:pPr>
        <w:pStyle w:val="ListNumber"/>
        <w:spacing w:after="30"/>
        <w:ind w:left="0"/>
      </w:pPr>
      <w:r>
        <w:t>Add masking rules and field-level annotations.</w:t>
      </w:r>
    </w:p>
    <w:p>
      <w:pPr>
        <w:pStyle w:val="ListNumber"/>
        <w:spacing w:after="30"/>
        <w:ind w:left="0"/>
      </w:pPr>
      <w:r>
        <w:t>Wire Serilog and ELK-compatible JSON output.</w:t>
      </w:r>
    </w:p>
    <w:p>
      <w:pPr>
        <w:pStyle w:val="ListNumber"/>
        <w:spacing w:after="30"/>
        <w:ind w:left="0"/>
      </w:pPr>
      <w:r>
        <w:t>Add HttpClient and Kafka propagation helpers.</w:t>
      </w:r>
    </w:p>
    <w:p>
      <w:pPr>
        <w:pStyle w:val="ListNumber"/>
        <w:spacing w:after="30"/>
        <w:ind w:left="0"/>
      </w:pPr>
      <w:r>
        <w:t>Retrofit one module end to end.</w:t>
      </w:r>
    </w:p>
    <w:p>
      <w:pPr>
        <w:pStyle w:val="ListNumber"/>
        <w:spacing w:after="30"/>
        <w:ind w:left="0"/>
      </w:pPr>
      <w:r>
        <w:t>Generate tests and rollout notes for other modules.</w:t>
      </w:r>
    </w:p>
    <w:p>
      <w:pPr>
        <w:pStyle w:val="Heading1"/>
        <w:spacing w:after="80"/>
      </w:pPr>
      <w:r>
        <w:t>27. References Used for This BRD</w:t>
      </w:r>
    </w:p>
    <w:p>
      <w:pPr>
        <w:pStyle w:val="ListBullet"/>
        <w:spacing w:after="30"/>
        <w:ind w:left="0"/>
      </w:pPr>
      <w:r>
        <w:t>PwC Draft Assessment Report on ePACS architecture and infrastructure, dated 16 Jan 2026.</w:t>
      </w:r>
    </w:p>
    <w:p>
      <w:pPr>
        <w:pStyle w:val="ListBullet"/>
        <w:spacing w:after="30"/>
        <w:ind w:left="0"/>
      </w:pPr>
      <w:r>
        <w:t>ePACS Architecture Review and associated internal architecture notes.</w:t>
      </w:r>
    </w:p>
    <w:p>
      <w:pPr>
        <w:pStyle w:val="ListBullet"/>
        <w:spacing w:after="30"/>
        <w:ind w:left="0"/>
      </w:pPr>
      <w:r>
        <w:t>NIC Review and related platform engineering assessments.</w:t>
      </w:r>
    </w:p>
    <w:p>
      <w:pPr>
        <w:pStyle w:val="ListBullet"/>
        <w:spacing w:after="30"/>
        <w:ind w:left="0"/>
      </w:pPr>
      <w:r>
        <w:t>Internal discussions and project context on DI-based traceability and ERP modernization.</w:t>
      </w:r>
    </w:p>
    <w:p>
      <w:pPr>
        <w:pStyle w:val="Heading1"/>
        <w:spacing w:after="80"/>
      </w:pPr>
      <w:r>
        <w:t>Appendix A. Sample Package and Folder Structure</w:t>
      </w:r>
    </w:p>
    <w:p>
      <w:pPr>
        <w:pStyle w:val="CodeBlock"/>
        <w:spacing w:after="0"/>
        <w:ind w:left="288"/>
      </w:pPr>
      <w:r>
        <w:rPr>
          <w:rFonts w:ascii="Courier New" w:hAnsi="Courier New"/>
          <w:sz w:val="17"/>
        </w:rPr>
        <w:t>src/</w:t>
      </w:r>
    </w:p>
    <w:p>
      <w:pPr>
        <w:pStyle w:val="CodeBlock"/>
        <w:spacing w:after="0"/>
        <w:ind w:left="288"/>
      </w:pPr>
      <w:r>
        <w:rPr>
          <w:rFonts w:ascii="Courier New" w:hAnsi="Courier New"/>
          <w:sz w:val="17"/>
        </w:rPr>
        <w:t xml:space="preserve">  Utilities/</w:t>
      </w:r>
    </w:p>
    <w:p>
      <w:pPr>
        <w:pStyle w:val="CodeBlock"/>
        <w:spacing w:after="0"/>
        <w:ind w:left="288"/>
      </w:pPr>
      <w:r>
        <w:rPr>
          <w:rFonts w:ascii="Courier New" w:hAnsi="Courier New"/>
          <w:sz w:val="17"/>
        </w:rPr>
        <w:t xml:space="preserve">    Epcs.Utils.Observability.Abstractions/</w:t>
      </w:r>
    </w:p>
    <w:p>
      <w:pPr>
        <w:pStyle w:val="CodeBlock"/>
        <w:spacing w:after="0"/>
        <w:ind w:left="288"/>
      </w:pPr>
      <w:r>
        <w:rPr>
          <w:rFonts w:ascii="Courier New" w:hAnsi="Courier New"/>
          <w:sz w:val="17"/>
        </w:rPr>
        <w:t xml:space="preserve">    Epcs.Utils.Observability.Core/</w:t>
      </w:r>
    </w:p>
    <w:p>
      <w:pPr>
        <w:pStyle w:val="CodeBlock"/>
        <w:spacing w:after="0"/>
        <w:ind w:left="288"/>
      </w:pPr>
      <w:r>
        <w:rPr>
          <w:rFonts w:ascii="Courier New" w:hAnsi="Courier New"/>
          <w:sz w:val="17"/>
        </w:rPr>
        <w:t xml:space="preserve">    Epcs.Utils.Observability.AspNetCore/</w:t>
      </w:r>
    </w:p>
    <w:p>
      <w:pPr>
        <w:pStyle w:val="CodeBlock"/>
        <w:spacing w:after="0"/>
        <w:ind w:left="288"/>
      </w:pPr>
      <w:r>
        <w:rPr>
          <w:rFonts w:ascii="Courier New" w:hAnsi="Courier New"/>
          <w:sz w:val="17"/>
        </w:rPr>
        <w:t xml:space="preserve">    Epcs.Utils.ErrorHandling/</w:t>
      </w:r>
    </w:p>
    <w:p>
      <w:pPr>
        <w:pStyle w:val="CodeBlock"/>
        <w:spacing w:after="0"/>
        <w:ind w:left="288"/>
      </w:pPr>
      <w:r>
        <w:rPr>
          <w:rFonts w:ascii="Courier New" w:hAnsi="Courier New"/>
          <w:sz w:val="17"/>
        </w:rPr>
        <w:t xml:space="preserve">    Epcs.Utils.AuditHooks/</w:t>
      </w:r>
    </w:p>
    <w:p>
      <w:pPr>
        <w:pStyle w:val="CodeBlock"/>
        <w:spacing w:after="0"/>
        <w:ind w:left="288"/>
      </w:pPr>
      <w:r>
        <w:rPr>
          <w:rFonts w:ascii="Courier New" w:hAnsi="Courier New"/>
          <w:sz w:val="17"/>
        </w:rPr>
        <w:t xml:space="preserve">  Modules/</w:t>
      </w:r>
    </w:p>
    <w:p>
      <w:pPr>
        <w:pStyle w:val="CodeBlock"/>
        <w:spacing w:after="0"/>
        <w:ind w:left="288"/>
      </w:pPr>
      <w:r>
        <w:rPr>
          <w:rFonts w:ascii="Courier New" w:hAnsi="Courier New"/>
          <w:sz w:val="17"/>
        </w:rPr>
        <w:t xml:space="preserve">    Loans/</w:t>
      </w:r>
    </w:p>
    <w:p>
      <w:pPr>
        <w:pStyle w:val="CodeBlock"/>
        <w:spacing w:after="0"/>
        <w:ind w:left="288"/>
      </w:pPr>
      <w:r>
        <w:rPr>
          <w:rFonts w:ascii="Courier New" w:hAnsi="Courier New"/>
          <w:sz w:val="17"/>
        </w:rPr>
        <w:t xml:space="preserve">    Membership/</w:t>
      </w:r>
    </w:p>
    <w:p>
      <w:pPr>
        <w:pStyle w:val="CodeBlock"/>
        <w:spacing w:after="0"/>
        <w:ind w:left="288"/>
      </w:pPr>
      <w:r>
        <w:rPr>
          <w:rFonts w:ascii="Courier New" w:hAnsi="Courier New"/>
          <w:sz w:val="17"/>
        </w:rPr>
        <w:t xml:space="preserve">    Savings/</w:t>
      </w:r>
    </w:p>
    <w:p>
      <w:pPr>
        <w:pStyle w:val="CodeBlock"/>
        <w:spacing w:after="0"/>
        <w:ind w:left="288"/>
      </w:pPr>
      <w:r>
        <w:rPr>
          <w:rFonts w:ascii="Courier New" w:hAnsi="Courier New"/>
          <w:sz w:val="17"/>
        </w:rPr>
        <w:t xml:space="preserve">    Borrowings/</w:t>
      </w:r>
    </w:p>
    <w:p>
      <w:pPr>
        <w:pStyle w:val="CodeBlock"/>
        <w:spacing w:after="0"/>
        <w:ind w:left="288"/>
      </w:pPr>
      <w:r>
        <w:rPr>
          <w:rFonts w:ascii="Courier New" w:hAnsi="Courier New"/>
          <w:sz w:val="17"/>
        </w:rPr>
        <w:t xml:space="preserve">    FAS/</w:t>
      </w:r>
    </w:p>
    <w:p>
      <w:pPr>
        <w:pStyle w:val="CodeBlock"/>
        <w:spacing w:after="0"/>
        <w:ind w:left="288"/>
      </w:pPr>
      <w:r>
        <w:rPr>
          <w:rFonts w:ascii="Courier New" w:hAnsi="Courier New"/>
          <w:sz w:val="17"/>
        </w:rPr>
        <w:t>tests/</w:t>
      </w:r>
    </w:p>
    <w:p>
      <w:pPr>
        <w:pStyle w:val="CodeBlock"/>
        <w:spacing w:after="0"/>
        <w:ind w:left="288"/>
      </w:pPr>
      <w:r>
        <w:rPr>
          <w:rFonts w:ascii="Courier New" w:hAnsi="Courier New"/>
          <w:sz w:val="17"/>
        </w:rPr>
        <w:t xml:space="preserve">  Epcs.Utils.Observability.Tests/</w:t>
      </w:r>
    </w:p>
    <w:p>
      <w:pPr>
        <w:pStyle w:val="CodeBlock"/>
        <w:spacing w:after="0"/>
        <w:ind w:left="288"/>
      </w:pPr>
      <w:r>
        <w:rPr>
          <w:rFonts w:ascii="Courier New" w:hAnsi="Courier New"/>
          <w:sz w:val="17"/>
        </w:rPr>
        <w:t xml:space="preserve">  Epcs.Utils.Observability.IntegrationTests/</w:t>
      </w:r>
    </w:p>
    <w:p>
      <w:pPr>
        <w:pStyle w:val="CodeBlock"/>
        <w:spacing w:after="0"/>
        <w:ind w:left="288"/>
      </w:pPr>
      <w:r>
        <w:rPr>
          <w:rFonts w:ascii="Courier New" w:hAnsi="Courier New"/>
          <w:sz w:val="17"/>
        </w:rPr>
        <w:t>docs/</w:t>
      </w:r>
    </w:p>
    <w:p>
      <w:pPr>
        <w:pStyle w:val="CodeBlock"/>
        <w:spacing w:after="0"/>
        <w:ind w:left="288"/>
      </w:pPr>
      <w:r>
        <w:rPr>
          <w:rFonts w:ascii="Courier New" w:hAnsi="Courier New"/>
          <w:sz w:val="17"/>
        </w:rPr>
        <w:t xml:space="preserve">  observability/</w:t>
      </w:r>
    </w:p>
    <w:p>
      <w:pPr>
        <w:pStyle w:val="CodeBlock"/>
        <w:spacing w:after="0"/>
        <w:ind w:left="288"/>
      </w:pPr>
      <w:r>
        <w:rPr>
          <w:rFonts w:ascii="Courier New" w:hAnsi="Courier New"/>
          <w:sz w:val="17"/>
        </w:rPr>
        <w:t xml:space="preserve">  error-catalog/</w:t>
      </w:r>
    </w:p>
    <w:p>
      <w:pPr>
        <w:pStyle w:val="CodeBlock"/>
        <w:spacing w:after="0"/>
        <w:ind w:left="288"/>
      </w:pPr>
      <w:r>
        <w:rPr>
          <w:rFonts w:ascii="Courier New" w:hAnsi="Courier New"/>
          <w:sz w:val="17"/>
        </w:rPr>
        <w:t xml:space="preserve">  rollout-guides/</w:t>
      </w:r>
    </w:p>
    <w:p/>
    <w:p>
      <w:pPr>
        <w:pStyle w:val="Heading1"/>
        <w:spacing w:after="80"/>
      </w:pPr>
      <w:r>
        <w:t>Appendix B. Sample Program Registration</w:t>
      </w:r>
    </w:p>
    <w:p>
      <w:pPr>
        <w:pStyle w:val="CodeBlock"/>
        <w:spacing w:after="0"/>
        <w:ind w:left="288"/>
      </w:pPr>
      <w:r>
        <w:rPr>
          <w:rFonts w:ascii="Courier New" w:hAnsi="Courier New"/>
          <w:sz w:val="17"/>
        </w:rPr>
        <w:t>builder.Services.AddEpcsObservability(builder.Configuration);</w:t>
      </w:r>
    </w:p>
    <w:p>
      <w:pPr>
        <w:pStyle w:val="CodeBlock"/>
        <w:spacing w:after="0"/>
        <w:ind w:left="288"/>
      </w:pPr>
      <w:r>
        <w:rPr>
          <w:rFonts w:ascii="Courier New" w:hAnsi="Courier New"/>
          <w:sz w:val="17"/>
        </w:rPr>
      </w:r>
    </w:p>
    <w:p>
      <w:pPr>
        <w:pStyle w:val="CodeBlock"/>
        <w:spacing w:after="0"/>
        <w:ind w:left="288"/>
      </w:pPr>
      <w:r>
        <w:rPr>
          <w:rFonts w:ascii="Courier New" w:hAnsi="Courier New"/>
          <w:sz w:val="17"/>
        </w:rPr>
        <w:t>var app = builder.Build();</w:t>
      </w:r>
    </w:p>
    <w:p>
      <w:pPr>
        <w:pStyle w:val="CodeBlock"/>
        <w:spacing w:after="0"/>
        <w:ind w:left="288"/>
      </w:pPr>
      <w:r>
        <w:rPr>
          <w:rFonts w:ascii="Courier New" w:hAnsi="Courier New"/>
          <w:sz w:val="17"/>
        </w:rPr>
      </w:r>
    </w:p>
    <w:p>
      <w:pPr>
        <w:pStyle w:val="CodeBlock"/>
        <w:spacing w:after="0"/>
        <w:ind w:left="288"/>
      </w:pPr>
      <w:r>
        <w:rPr>
          <w:rFonts w:ascii="Courier New" w:hAnsi="Courier New"/>
          <w:sz w:val="17"/>
        </w:rPr>
        <w:t>app.UseEpcsObservability();</w:t>
      </w:r>
    </w:p>
    <w:p>
      <w:pPr>
        <w:pStyle w:val="CodeBlock"/>
        <w:spacing w:after="0"/>
        <w:ind w:left="288"/>
      </w:pPr>
      <w:r>
        <w:rPr>
          <w:rFonts w:ascii="Courier New" w:hAnsi="Courier New"/>
          <w:sz w:val="17"/>
        </w:rPr>
        <w:t>app.UseAuthentication();</w:t>
      </w:r>
    </w:p>
    <w:p>
      <w:pPr>
        <w:pStyle w:val="CodeBlock"/>
        <w:spacing w:after="0"/>
        <w:ind w:left="288"/>
      </w:pPr>
      <w:r>
        <w:rPr>
          <w:rFonts w:ascii="Courier New" w:hAnsi="Courier New"/>
          <w:sz w:val="17"/>
        </w:rPr>
        <w:t>app.UseAuthorization();</w:t>
      </w:r>
    </w:p>
    <w:p>
      <w:pPr>
        <w:pStyle w:val="CodeBlock"/>
        <w:spacing w:after="0"/>
        <w:ind w:left="288"/>
      </w:pPr>
      <w:r>
        <w:rPr>
          <w:rFonts w:ascii="Courier New" w:hAnsi="Courier New"/>
          <w:sz w:val="17"/>
        </w:rPr>
        <w:t>app.MapControllers();</w:t>
      </w:r>
    </w:p>
    <w:p/>
    <w:sectPr w:rsidR="00FC693F" w:rsidRPr="0006063C" w:rsidSect="00034616">
      <w:footerReference w:type="default" r:id="rId9"/>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ERP Logging &amp; Error Handling Utility BRD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