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icrosoft YaHei"/>
          <w:b/>
          <w:color w:val="00856A"/>
          <w:sz w:val="18"/>
        </w:rPr>
        <w:t>SOFTWARE COPYRIGHT WORKPAPER</w:t>
      </w:r>
    </w:p>
    <w:p>
      <w:pPr>
        <w:spacing w:after="100"/>
      </w:pPr>
      <w:r>
        <w:rPr>
          <w:rFonts w:ascii="Calibri" w:hAnsi="Calibri" w:eastAsia="Microsoft YaHei"/>
          <w:b/>
          <w:color w:val="17324D"/>
          <w:sz w:val="46"/>
        </w:rPr>
        <w:t>智健食探软著申报事实核对</w:t>
        <w:br/>
        <w:t>与人工撰写工作底稿</w:t>
      </w:r>
    </w:p>
    <w:p>
      <w:pPr>
        <w:spacing w:after="280"/>
      </w:pPr>
      <w:r>
        <w:rPr>
          <w:rFonts w:ascii="Calibri" w:hAnsi="Calibri" w:eastAsia="Microsoft YaHei"/>
          <w:b/>
          <w:color w:val="5B6573"/>
          <w:sz w:val="24"/>
        </w:rPr>
        <w:t>拟申报软件：智健食探智能营养健康管理软件 V3.0.2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核验结果 / 待办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底稿用途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供真实研发人员、权利人和经办人核验事实、确定申报边界并组织人工撰写；不是登记申请材料。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项目基线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food_link 仓库，dev 分支；根 package.json 版本 3.0.2；核对日期 2026-08-25。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当前状态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工作区存在大量未提交改动，尚未形成可直接申报的固定版本。必须先冻结 commit/tag。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待确认主体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著作权人、开发方式、权利取得方式、完成日期、首次发表日期、经办人及身份证明均待权利人核验。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关键合规结论（请先读）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2026-03-15 启用的新版申请表要求经办人实名声明未使用 AI 开发编写代码、撰写文档或生成登记申请材料，并加入失信责任。本文由 AI 辅助整理，不能复制、改名或直接上传。当前项目也存在 AI 编码代理参与开发的工作记录；在获得中国版权保护中心对“AI 辅助、人主导复核/修改”的明确口径前，不建议为当前 V3.0.2 签署该声明。</w:t>
            </w:r>
          </w:p>
        </w:tc>
      </w:tr>
    </w:tbl>
    <w:p>
      <w:pPr>
        <w:spacing w:after="40"/>
      </w:pPr>
    </w:p>
    <w:p>
      <w:pPr>
        <w:keepNext w:val="0"/>
        <w:spacing w:before="0" w:after="0" w:line="264" w:lineRule="auto"/>
      </w:pPr>
      <w:r>
        <w:rPr>
          <w:rFonts w:ascii="Calibri" w:hAnsi="Calibri" w:eastAsia="Microsoft YaHei"/>
          <w:b w:val="0"/>
          <w:i w:val="0"/>
          <w:color w:val="5B6573"/>
          <w:sz w:val="18"/>
        </w:rPr>
        <w:t>编制日期：2026 年 8 月 25 日</w:t>
      </w:r>
    </w:p>
    <w:p>
      <w:r>
        <w:br w:type="page"/>
      </w:r>
    </w:p>
    <w:p>
      <w:pPr>
        <w:pStyle w:val="Heading1"/>
        <w:keepNext/>
      </w:pPr>
      <w:r>
        <w:t>1. 结论与建议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6F2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0856A"/>
                <w:sz w:val="21"/>
              </w:rPr>
              <w:t>建议结论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先做“申报资格与版本冻结”，再做材料。若经办人不能据实签署新版 AI 声明，就不要递交；不得通过人工抄写、代办或删除 AI 痕迹来规避。可以先向中国版权保护中心咨询并保留工单/通话记录，或选择一个能够真实满足声明的历史版本。</w:t>
            </w:r>
          </w:p>
        </w:tc>
      </w:tr>
    </w:tbl>
    <w:p>
      <w:pPr>
        <w:spacing w:after="40"/>
      </w:pP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软件边界建议：以用户端微信小程序 + 专属 Go 后端的智能营养健康管理能力为一个软件整体；排除 Admin 管理后台、E2E 测试、数据爬取、压测和部署脚本。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名称建议：智健食探智能营养健康管理软件；简称“智健食探”；版本号建议与申报 commit 对应并写为 V3.0.2。最终名称必须与申请表、说明书、截图、源代码页眉一致。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当前不具备直接申报条件：dev 工作区有未提交改动，申请人及权属信息缺失，且 AI 使用声明存在实质风险。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本底稿可用于内部尽调、研发访谈、法务核验和向登记机构咨询；不生成可直接签署的 500–1300 字主要功能正文，也不生成源代码/说明书鉴别材料。</w:t>
      </w:r>
    </w:p>
    <w:p>
      <w:pPr>
        <w:pStyle w:val="Heading1"/>
        <w:keepNext/>
      </w:pPr>
      <w:r>
        <w:t>2. 2026 年最新规则核对</w:t>
      </w:r>
    </w:p>
    <w:p>
      <w:pPr>
        <w:pStyle w:val="Heading2"/>
        <w:keepNext/>
      </w:pPr>
      <w:r>
        <w:t>2.1 现行法定基础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《计算机软件著作权登记办法》目前仍是软件登记的法定基础。与本项目直接相关的要求如下：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事项</w:t>
            </w:r>
          </w:p>
        </w:tc>
        <w:tc>
          <w:tcPr>
            <w:tcW w:type="dxa" w:w="69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法定要求摘要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申请主体</w:t>
            </w:r>
          </w:p>
        </w:tc>
        <w:tc>
          <w:tcPr>
            <w:tcW w:type="dxa" w:w="6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申请人应当是软件著作权人，或通过继承、受让、承受取得权利的自然人、法人或其他组织。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软件条件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软件应为独立开发，或经原著作权人许可、在功能或性能方面有重要改进。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三类材料</w:t>
            </w:r>
          </w:p>
        </w:tc>
        <w:tc>
          <w:tcPr>
            <w:tcW w:type="dxa" w:w="6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申请表、软件鉴别材料、相关证明文件。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程序鉴别材料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源程序前、后各连续 30 页；不足 60 页提交全部；除特定情况外每页不少于 50 行。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文档鉴别材料</w:t>
            </w:r>
          </w:p>
        </w:tc>
        <w:tc>
          <w:tcPr>
            <w:tcW w:type="dxa" w:w="6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任一种文档前、后各连续 30 页；不足 60 页提交全部；除特定情况外每页不少于 30 行。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证明文件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身份证明；存在合同、任务书、原软件许可、继承或受让情形时提交相应权属证明。</w:t>
            </w:r>
          </w:p>
        </w:tc>
      </w:tr>
      <w:tr>
        <w:tc>
          <w:tcPr>
            <w:tcW w:type="dxa" w:w="24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形式</w:t>
            </w:r>
          </w:p>
        </w:tc>
        <w:tc>
          <w:tcPr>
            <w:tcW w:type="dxa" w:w="6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统一表格、中文填写；外文证明附中文译本；文件使用 A4 纸。</w:t>
            </w:r>
          </w:p>
        </w:tc>
      </w:tr>
      <w:tr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审查与补正</w:t>
            </w:r>
          </w:p>
        </w:tc>
        <w:tc>
          <w:tcPr>
            <w:tcW w:type="dxa" w:w="6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法定审查期限为受理日起 60 日；收到补正通知后 30 日内补正，逾期视为撤回。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2026-03-15 新版申请表变化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变化</w:t>
            </w:r>
          </w:p>
        </w:tc>
        <w:tc>
          <w:tcPr>
            <w:tcW w:type="dxa" w:w="71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对本项目的影响</w:t>
            </w:r>
          </w:p>
        </w:tc>
      </w:tr>
      <w:tr>
        <w:tc>
          <w:tcPr>
            <w:tcW w:type="dxa" w:w="22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主要功能字数</w:t>
            </w:r>
          </w:p>
        </w:tc>
        <w:tc>
          <w:tcPr>
            <w:tcW w:type="dxa" w:w="71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由旧表 200 字以内调整为 500–1300 字；应具体说明研发背景、架构、功能、技术实现和应用场景。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诚信制度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建立软件版权登记申请诚信制度，引入失信惩戒机制。</w:t>
            </w:r>
          </w:p>
        </w:tc>
      </w:tr>
      <w:tr>
        <w:tc>
          <w:tcPr>
            <w:tcW w:type="dxa" w:w="22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AI 声明</w:t>
            </w:r>
          </w:p>
        </w:tc>
        <w:tc>
          <w:tcPr>
            <w:tcW w:type="dxa" w:w="71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签章页增加“未使用 AI 开发编写代码、撰写文档或生成登记申请材料”的声明。</w:t>
            </w:r>
          </w:p>
        </w:tc>
      </w:tr>
      <w:tr>
        <w:tc>
          <w:tcPr>
            <w:tcW w:type="dxa" w:w="2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经办人实名</w:t>
            </w:r>
          </w:p>
        </w:tc>
        <w:tc>
          <w:tcPr>
            <w:tcW w:type="dxa" w:w="71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经办人签名并填写身份证号码；公开转发材料显示承诺内容需本人手写，正式操作以系统生成的新表为准。</w:t>
            </w:r>
          </w:p>
        </w:tc>
      </w:tr>
      <w:tr>
        <w:tc>
          <w:tcPr>
            <w:tcW w:type="dxa" w:w="22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新表生效</w:t>
            </w:r>
          </w:p>
        </w:tc>
        <w:tc>
          <w:tcPr>
            <w:tcW w:type="dxa" w:w="71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优化后的申请表自 2026-03-15 发布之日起施行；不要保存或套用旧版离线表。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证据强度说明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AI 声明和 500–1300 字要求来自中国版权保护中心 2026-03-15 通知及新版申请表的公开转发/新闻核验；国家版权局网站公开的《登记办法》仍提供基础法定要求。提交当天必须再次登录登记系统核对最新表单字段与提示。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2.3 实际办理口径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通过中国版权保护中心著作权登记系统注册、实名认证、在线填报，并使用系统当次生成的申请表。不要从代理网站下载旧表。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申请人可自行办理或委托代理，但权利人和经办人仍需对真实性负责；代理不能替代研发人员确认功能、代码和权属。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普通登记的实际处理时长、是否收费、证书形态及上传文件格式，以提交当日系统页面为准；法定规则中的 60 日从受理日起计算。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保留一整套提交副本和版本 hash，便于补正时保持一致。</w:t>
      </w:r>
    </w:p>
    <w:p>
      <w:pPr>
        <w:pStyle w:val="Heading1"/>
        <w:keepNext/>
      </w:pPr>
      <w:r>
        <w:t>3. 申报资格与 AI 使用风险</w:t>
      </w:r>
    </w:p>
    <w:p>
      <w:pPr>
        <w:pStyle w:val="Heading2"/>
        <w:keepNext/>
      </w:pPr>
      <w:r>
        <w:t>3.1 当前风险判断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350"/>
        <w:gridCol w:w="4910"/>
        <w:gridCol w:w="1200"/>
      </w:tblGrid>
      <w:tr>
        <w:trPr>
          <w:tblHeader w:val="true"/>
        </w:trPr>
        <w:tc>
          <w:tcPr>
            <w:tcW w:type="dxa" w:w="19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135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91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判断</w:t>
            </w:r>
          </w:p>
        </w:tc>
        <w:tc>
          <w:tcPr>
            <w:tcW w:type="dxa" w:w="12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等级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登记材料由 AI 生成</w:t>
            </w:r>
          </w:p>
        </w:tc>
        <w:tc>
          <w:tcPr>
            <w:tcW w:type="dxa" w:w="135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已发生</w:t>
            </w:r>
          </w:p>
        </w:tc>
        <w:tc>
          <w:tcPr>
            <w:tcW w:type="dxa" w:w="491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本工作底稿即为 AI 辅助产物，不能直接转为申请表正文或说明书。</w:t>
            </w:r>
          </w:p>
        </w:tc>
        <w:tc>
          <w:tcPr>
            <w:tcW w:type="dxa" w:w="12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红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项目代码存在 AI 辅助开发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高概率/需审计</w:t>
            </w:r>
          </w:p>
        </w:tc>
        <w:tc>
          <w:tcPr>
            <w:tcW w:type="dxa" w:w="49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项目由编码代理长期参与，需由负责人逐 commit 审计并向登记机构咨询。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红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申报版本未冻结</w:t>
            </w:r>
          </w:p>
        </w:tc>
        <w:tc>
          <w:tcPr>
            <w:tcW w:type="dxa" w:w="135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已发生</w:t>
            </w:r>
          </w:p>
        </w:tc>
        <w:tc>
          <w:tcPr>
            <w:tcW w:type="dxa" w:w="491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dev 工作区存在大量未提交修改，截图、源码和版本无法形成单一证据链。</w:t>
            </w:r>
          </w:p>
        </w:tc>
        <w:tc>
          <w:tcPr>
            <w:tcW w:type="dxa" w:w="12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红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著作权人未确认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未完成</w:t>
            </w:r>
          </w:p>
        </w:tc>
        <w:tc>
          <w:tcPr>
            <w:tcW w:type="dxa" w:w="49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package.json author 为空；多人提交不等于权属已明确。需核对劳动/合作/委托协议。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黄</w:t>
            </w:r>
          </w:p>
        </w:tc>
      </w:tr>
      <w:tr>
        <w:tc>
          <w:tcPr>
            <w:tcW w:type="dxa" w:w="19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第三方/开源成分</w:t>
            </w:r>
          </w:p>
        </w:tc>
        <w:tc>
          <w:tcPr>
            <w:tcW w:type="dxa" w:w="135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存在</w:t>
            </w:r>
          </w:p>
        </w:tc>
        <w:tc>
          <w:tcPr>
            <w:tcW w:type="dxa" w:w="491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Taro、React、Gin、GORM 等依赖不得作为自研代码主张；应保留许可证清单。</w:t>
            </w:r>
          </w:p>
        </w:tc>
        <w:tc>
          <w:tcPr>
            <w:tcW w:type="dxa" w:w="12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黄</w:t>
            </w:r>
          </w:p>
        </w:tc>
      </w:tr>
      <w:tr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软件边界过宽</w:t>
            </w:r>
          </w:p>
        </w:tc>
        <w:tc>
          <w:tcPr>
            <w:tcW w:type="dxa" w:w="135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可控</w:t>
            </w:r>
          </w:p>
        </w:tc>
        <w:tc>
          <w:tcPr>
            <w:tcW w:type="dxa" w:w="491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若把微信端、App、Admin、测试、爬虫一起申报，名称和鉴别材料容易不一致。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3.2 必须由权利人作出的决定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确认申报版本是否完全没有使用 AI 编写代码、文档或申请材料；不要把“人工看过”自动等同于满足声明。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以事实向中国版权保护中心咨询：AI 只做补全/建议、人工逐行修改是否仍属于“使用 AI 开发编写代码”；AI 仅参与内部底稿但最终由研发人员独立重写是否可以签署。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若当前版本不满足声明，选择可真实满足的历史 commit，或暂停申报，等待明确政策口径；不得倒签、隐藏或伪造开发记录。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确定著作权人：个人、公司、共同著作权人或受让主体；核对开发者与权利人的劳动、委托、合作、转让关系。</w:t>
      </w:r>
    </w:p>
    <w:p>
      <w:pPr>
        <w:pStyle w:val="Heading2"/>
        <w:keepNext/>
      </w:pPr>
      <w:r>
        <w:t>3.3 咨询登记机构时建议逐字说明的事实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6F2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00856A"/>
                <w:sz w:val="21"/>
              </w:rPr>
              <w:t>咨询问题模板（事实问题，不是申报文本）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“我们有一款已持续开发的软件，部分代码提交和内部技术文档曾使用生成式 AI 辅助，但均由研发人员审查、修改并承担责任。2026 新版申请表要求声明未使用 AI 开发编写代码、撰写文档或生成登记申请材料。请问：这种人主导、AI 辅助的情况能否申请？若不能，能否申报未使用 AI 的历史版本？需要保留或提交哪些证明？”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推荐的软件申报边界</w:t>
      </w:r>
    </w:p>
    <w:p>
      <w:pPr>
        <w:pStyle w:val="Heading2"/>
        <w:keepNext/>
      </w:pPr>
      <w:r>
        <w:t>4.1 名称和范围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核验结果 / 待办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建议全称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智健食探智能营养健康管理软件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建议简称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智健食探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建议版本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V3.0.2（须与冻结 commit 对应；若改用历史版本，版本号同步调整）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软件类型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应用软件 / 健康管理工具（最终按系统分类项选择）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纳入范围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微信小程序客户端、专属业务 API、分析任务与营养健康数据处理逻辑。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排除范围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Admin 后台、测试后台、E2E/压测、校园数据爬取、部署脚本、第三方依赖、构建产物。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不主张内容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第三方模型能力、开源框架本身、第三方数据源、微信平台能力及云服务本身。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4.2 技术架构事实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用户端以 Taro 4.1.10、React 18、TypeScript 5.4 和 Sass 构建微信小程序；服务端为 Go 1.26 + Gin/GORM，使用 PostgreSQL 持久化、Redis/Kafka 支持缓存与异步处理、腾讯云 COS/CDN 管理用户图片，并通过受控外部模型接口完成图像/文本分析。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/>
          <w:i w:val="0"/>
          <w:color w:val="17324D"/>
          <w:sz w:val="21"/>
        </w:rPr>
        <w:t>逻辑链路：微信小程序 → HTTPS API → 业务服务（分析、记录、健康、校园、社区等）→ PostgreSQL/Redis/Kafka → COS/CDN 与外部 AI 服务。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F0F7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17324D"/>
                <w:sz w:val="21"/>
              </w:rPr>
              <w:t>医疗边界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软件定位是饮食记录、营养估算和健康管理辅助，不应在申请材料中描述为疾病诊断、治疗或替代医生。涉及健康档案和图片时，应如实说明授权、访问控制和隐私保护。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5. 申请表事实采集单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下表仅列出事实项。方括号内容必须由申请人核验，不得推测填写。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核验结果 / 待办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软件全称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建议：智健食探智能营养健康管理软件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简称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建议：智健食探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版本号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建议：V3.0.2；以冻结 commit 的 package.json 为准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著作权人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[待确认：个人/公司全称，必须与证件一致]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统一社会信用代码/身份证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[待确认，不在内部文档传播完整号码]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开发方式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[待确认：独立开发/合作开发/委托开发/下达任务开发]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权利取得方式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[待确认：原始取得/继受取得；如继受需证明]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权利范围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[待确认：全部权利/部分权利]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开发完成日期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[待确认：对应申报版本实际完成日期，不得用底稿日期代替]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首次发表状态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[待确认：未发表/已发表；如已发表，填写真实日期与地点]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开发硬件环境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常规 x86_64/AMD64 开发计算机与云服务器；具体 CPU、内存按实际填写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运行硬件环境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支持微信的移动终端 + Linux AMD64 服务端；云资源规格按冻结版本实际环境填写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开发软件环境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Windows/macOS/Linux 开发环境；Node.js、Taro 4.1.10、TypeScript 5.4、Go 1.26 等，按实际开发机补全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运行软件环境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微信客户端/微信小程序运行环境；Linux、PostgreSQL、Redis/Kafka 等服务，按申报边界核实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编程语言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TypeScript/TSX、Go、SCSS；是否列 SQL 等由冻结源码范围决定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源程序量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当前粗略核对：微信端 TS/TSX 约 79,799 行、SCSS 约 60,695 行；后端非测试 Go 约 150,580 行。正式值须在冻结 commit 重新统计。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经办人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[待确认：申请人内部真实经办人；需能据实签署新版承诺]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6. 项目功能事实库（供研发人员独立撰写）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使用方式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研发人员应只把本节当作核对清单，回到冻结版本亲自操作、截图和描述。不得把本节改写、拼接或复制到申请表的“主要功能”栏。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 w:val="true"/>
        </w:trPr>
        <w:tc>
          <w:tcPr>
            <w:tcW w:type="dxa" w:w="16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48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可核验功能事实</w:t>
            </w:r>
          </w:p>
        </w:tc>
        <w:tc>
          <w:tcPr>
            <w:tcW w:type="dxa" w:w="29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代码/页面证据</w:t>
            </w:r>
          </w:p>
        </w:tc>
      </w:tr>
      <w:tr>
        <w:tc>
          <w:tcPr>
            <w:tcW w:type="dxa" w:w="1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登录与账户</w:t>
            </w:r>
          </w:p>
        </w:tc>
        <w:tc>
          <w:tcPr>
            <w:tcW w:type="dxa" w:w="4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微信登录、手机号快捷登录、用户资料、隐私与账号安全</w:t>
            </w:r>
          </w:p>
        </w:tc>
        <w:tc>
          <w:tcPr>
            <w:tcW w:type="dxa" w:w="2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app.config；login/profile 页面；user API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AI 食物分析</w:t>
            </w:r>
          </w:p>
        </w:tc>
        <w:tc>
          <w:tcPr>
            <w:tcW w:type="dxa" w:w="4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拍照、文字、批量/多图、精准多角度、视频关键帧等识别入口；异步任务与结果回看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analyze、analyze-loading、result 页面；analyze service</w:t>
            </w:r>
          </w:p>
        </w:tc>
      </w:tr>
      <w:tr>
        <w:tc>
          <w:tcPr>
            <w:tcW w:type="dxa" w:w="1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饮食记录</w:t>
            </w:r>
          </w:p>
        </w:tc>
        <w:tc>
          <w:tcPr>
            <w:tcW w:type="dxa" w:w="4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分析结果保存、手动记录、文本记录、餐次管理、历史记录与详情</w:t>
            </w:r>
          </w:p>
        </w:tc>
        <w:tc>
          <w:tcPr>
            <w:tcW w:type="dxa" w:w="2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record-* 页面；foodrecord service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营养与趋势</w:t>
            </w:r>
          </w:p>
        </w:tc>
        <w:tc>
          <w:tcPr>
            <w:tcW w:type="dxa" w:w="4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每日摄入总览、宏量/微量营养、体重、饮水、运动、身体指标趋势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首页、stats、body-* 页面；stats service</w:t>
            </w:r>
          </w:p>
        </w:tc>
      </w:tr>
      <w:tr>
        <w:tc>
          <w:tcPr>
            <w:tcW w:type="dxa" w:w="1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健康档案</w:t>
            </w:r>
          </w:p>
        </w:tc>
        <w:tc>
          <w:tcPr>
            <w:tcW w:type="dxa" w:w="4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个人健康资料、目标管理、健康报告图片上传与结构化提取</w:t>
            </w:r>
          </w:p>
        </w:tc>
        <w:tc>
          <w:tcPr>
            <w:tcW w:type="dxa" w:w="2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health-profile 页面；health API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校园食堂</w:t>
            </w:r>
          </w:p>
        </w:tc>
        <w:tc>
          <w:tcPr>
            <w:tcW w:type="dxa" w:w="4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学校/校区/食堂/楼层目录、校园菜品检索与分享、校园餐推荐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campus-* 页面；publicfood/health service</w:t>
            </w:r>
          </w:p>
        </w:tc>
      </w:tr>
      <w:tr>
        <w:tc>
          <w:tcPr>
            <w:tcW w:type="dxa" w:w="1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公共食物与社区</w:t>
            </w:r>
          </w:p>
        </w:tc>
        <w:tc>
          <w:tcPr>
            <w:tcW w:type="dxa" w:w="4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食物库、收藏、反馈、动态、评论、点赞、互动通知与好友</w:t>
            </w:r>
          </w:p>
        </w:tc>
        <w:tc>
          <w:tcPr>
            <w:tcW w:type="dxa" w:w="2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food-library/community 页面；publicfood/community API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菜谱</w:t>
            </w:r>
          </w:p>
        </w:tc>
        <w:tc>
          <w:tcPr>
            <w:tcW w:type="dxa" w:w="4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个人菜谱创建、编辑、查看和按菜谱生成记录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recipes 页面与 API</w:t>
            </w:r>
          </w:p>
        </w:tc>
      </w:tr>
      <w:tr>
        <w:tc>
          <w:tcPr>
            <w:tcW w:type="dxa" w:w="1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保质期管理</w:t>
            </w:r>
          </w:p>
        </w:tc>
        <w:tc>
          <w:tcPr>
            <w:tcW w:type="dxa" w:w="4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食品录入、到期看板、状态更新与订阅提醒</w:t>
            </w:r>
          </w:p>
        </w:tc>
        <w:tc>
          <w:tcPr>
            <w:tcW w:type="dxa" w:w="2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expiry 页面；expiry service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补剂管理</w:t>
            </w:r>
          </w:p>
        </w:tc>
        <w:tc>
          <w:tcPr>
            <w:tcW w:type="dxa" w:w="4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公共补剂库、标签图片识别、补剂记录与每日计划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supplements 页面；supplement service</w:t>
            </w:r>
          </w:p>
        </w:tc>
      </w:tr>
      <w:tr>
        <w:tc>
          <w:tcPr>
            <w:tcW w:type="dxa" w:w="1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宠物/对话助手</w:t>
            </w:r>
          </w:p>
        </w:tc>
        <w:tc>
          <w:tcPr>
            <w:tcW w:type="dxa" w:w="4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宠物形象、饮食对话、基于真实用户目标与校园食物数据的工具调用推荐</w:t>
            </w:r>
          </w:p>
        </w:tc>
        <w:tc>
          <w:tcPr>
            <w:tcW w:type="dxa" w:w="29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pet-home/pet-chat 页面；pet/health agent service</w:t>
            </w:r>
          </w:p>
        </w:tc>
      </w:tr>
      <w:tr>
        <w:tc>
          <w:tcPr>
            <w:tcW w:type="dxa" w:w="1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会员与激励</w:t>
            </w:r>
          </w:p>
        </w:tc>
        <w:tc>
          <w:tcPr>
            <w:tcW w:type="dxa" w:w="4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积分、签到、奖励中心及会员权益控制；支付属于平台合规独立事项</w:t>
            </w:r>
          </w:p>
        </w:tc>
        <w:tc>
          <w:tcPr>
            <w:tcW w:type="dxa" w:w="29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pro-membership/reward 页面；membership API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人工撰写“主要功能”访谈提纲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新版主要功能栏要求 500–1300 字。请由了解产品和代码的真实研发人员，在不查看任何 AI 成稿的情况下独立回答以下问题，再由法务核对事实和一致性。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研发背景：用户在饮食记录、营养理解和持续体重管理上遇到的具体问题是什么？为什么要做微信小程序？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目标用户与场景：面向哪些用户？在家庭餐、外卖、校园食堂、包装食品、补记录等场景如何使用？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软件边界：本次申请包含哪些客户端和服务端能力？明确排除哪些后台、工具和第三方能力？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核心架构：客户端、API、异步任务、数据库、对象存储、缓存/消息和外部模型如何协作？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核心功能：选 5–8 个已在冻结版本真实可用、能由截图和代码同时证明的模块逐项说明。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关键流程：从用户选择图片/输入文字，到上传、提交任务、轮询/提醒、展示结果、保存记录的完整流程是什么？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技术特点：哪些数据校验、任务幂等、缓存策略、营养匹配、权限控制或隐私保护属于自研实现？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原创性边界：自研代码与 Taro、React、Gin、GORM、微信接口、外部模型和第三方数据如何区分？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应用价值：软件怎样降低记录门槛、形成摄入—趋势—行动闭环？不要使用无法证明的疗效或准确率。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版本事实：上述每项是否都能在同一冻结 commit 中运行、截图并找到代码？</w:t>
      </w:r>
    </w:p>
    <w:p>
      <w:pPr>
        <w:pStyle w:val="Heading1"/>
        <w:keepNext/>
      </w:pPr>
      <w:r>
        <w:t>8. 人工编制说明书的结构与截图清单</w:t>
      </w:r>
    </w:p>
    <w:p>
      <w:pPr>
        <w:pStyle w:val="Heading2"/>
        <w:keepNext/>
      </w:pPr>
      <w:r>
        <w:t>8.1 推荐文档类型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建议提交《智健食探智能营养健康管理软件 V3.0.2 用户操作说明书》。用户手册比纯设计说明书更容易用真实截图证明功能，但必须由研发/产品人员基于冻结版本人工编制。</w:t>
      </w:r>
    </w:p>
    <w:p>
      <w:pPr>
        <w:pStyle w:val="Heading2"/>
        <w:keepNext/>
      </w:pPr>
      <w:r>
        <w:t>8.2 章节结构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封面：全称、版本号、著作权人、完成日期（均与申请表一致）。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软件概述：研发目的、适用对象、功能边界、免责声明。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运行环境：微信版本/基础库、网络要求、服务端环境（只写实际）。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登录与首次使用：授权、手机号、协议、健康资料和目标设置。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食物分析：拍照/选图、文字、精准模式、任务等待、结果确认与保存。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饮食记录与首页：日总览、餐次、记录详情、历史记录。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营养统计与身体数据：趋势、体重、饮水、运动和身体指标。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健康档案：资料查看/修改、报告上传与隐私说明。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校园、食物库与社区：按申报版本真实页面择要说明。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保质期、补剂、菜谱与对话助手：只纳入冻结版本可稳定复现的功能。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数据与安全：账号权限、上传图片、缓存清理、注销与隐私入口。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常见问题：网络失败、识别失败、任务等待、缓存、权限与错误提示。</w:t>
      </w:r>
    </w:p>
    <w:p>
      <w:pPr>
        <w:pStyle w:val="Heading2"/>
        <w:keepNext/>
      </w:pPr>
      <w:r>
        <w:t>8.3 最小截图证据集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36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建议截图</w:t>
            </w:r>
          </w:p>
        </w:tc>
        <w:tc>
          <w:tcPr>
            <w:tcW w:type="dxa" w:w="40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注意事项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登录/首页</w:t>
            </w:r>
          </w:p>
        </w:tc>
        <w:tc>
          <w:tcPr>
            <w:tcW w:type="dxa" w:w="3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登录页、首页日总览、中央识别入口</w:t>
            </w:r>
          </w:p>
        </w:tc>
        <w:tc>
          <w:tcPr>
            <w:tcW w:type="dxa" w:w="40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显示软件品牌和真实数据状态；隐去手机号/头像等个人信息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分析流程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选择图片、分析方式、等待页、结果页、保存成功</w:t>
            </w:r>
          </w:p>
        </w:tc>
        <w:tc>
          <w:tcPr>
            <w:tcW w:type="dxa" w:w="4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同一测试账号和同一版本；不要拼接不同版本 UI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记录与统计</w:t>
            </w:r>
          </w:p>
        </w:tc>
        <w:tc>
          <w:tcPr>
            <w:tcW w:type="dxa" w:w="3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记录列表/详情、营养趋势、体重/饮水/运动</w:t>
            </w:r>
          </w:p>
        </w:tc>
        <w:tc>
          <w:tcPr>
            <w:tcW w:type="dxa" w:w="40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示例数据应合法、脱敏、可复现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健康档案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资料页、目标设置、报告入口</w:t>
            </w:r>
          </w:p>
        </w:tc>
        <w:tc>
          <w:tcPr>
            <w:tcW w:type="dxa" w:w="4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不得展示真实健康报告或身份证明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校园/食物库</w:t>
            </w:r>
          </w:p>
        </w:tc>
        <w:tc>
          <w:tcPr>
            <w:tcW w:type="dxa" w:w="3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食堂筛选、菜品详情、收藏/反馈</w:t>
            </w:r>
          </w:p>
        </w:tc>
        <w:tc>
          <w:tcPr>
            <w:tcW w:type="dxa" w:w="40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仅使用当前版本真实上线功能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扩展模块</w:t>
            </w:r>
          </w:p>
        </w:tc>
        <w:tc>
          <w:tcPr>
            <w:tcW w:type="dxa" w:w="3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保质期、补剂、菜谱、宠物对话</w:t>
            </w:r>
          </w:p>
        </w:tc>
        <w:tc>
          <w:tcPr>
            <w:tcW w:type="dxa" w:w="40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根据申报范围择要，不求功能数量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隐私与安全</w:t>
            </w:r>
          </w:p>
        </w:tc>
        <w:tc>
          <w:tcPr>
            <w:tcW w:type="dxa" w:w="36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隐私政策、账号安全、清除缓存、注销入口</w:t>
            </w:r>
          </w:p>
        </w:tc>
        <w:tc>
          <w:tcPr>
            <w:tcW w:type="dxa" w:w="40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体现数据处理边界，不声称不实际具备的加密措施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源程序鉴别材料的人工作业方案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本底稿不生成源码交存件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新版申请表包含未使用 AI 生成登记申请材料的声明；自动拼接、排版或补齐源代码页可能成为申报材料生成行为。以下只提供人工操作的控制点。</w:t>
            </w:r>
          </w:p>
        </w:tc>
      </w:tr>
    </w:tbl>
    <w:p>
      <w:pPr>
        <w:spacing w:after="40"/>
      </w:pP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冻结版本：清理无关改动后，由负责人确定 commit hash，并创建只读归档；记录 package.json 版本和构建时间。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确定自研边界：只选申请人拥有著作权的 TypeScript/TSX 与 Go 业务代码；排除 node_modules、vendor、dist、测试、生成代码、迁移数据、密钥和第三方源码。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建立人工文件顺序：按客户端入口→核心业务→服务端入口→核心服务的稳定顺序登记文件清单；不得为凑页数重复代码。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核对连续性：按该顺序形成完整源程序，取前 30 页和后 30 页；不足 60 页则全部提交。每页除最后一页外保持不少于 50 行。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统一页眉页码：每页写同一软件全称和版本号，右上角连续页码；名称不得与申请表或说明书不同。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保密检查：不提交 token、密码、OAuth code、数据库连接串、真实手机号、健康数据、用户图片、模型密钥或商业敏感配置。必要时按法定例外交存方式办理，不要随意涂黑。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权属检查：排除开源框架、复制片段、外包方未转让代码和权属不清的 AI 生成片段；保留许可证及开发记录。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双人复核：研发负责人核对代码真实性和可编译性，法务/经办人核对名称、版本、页数、行数、权属和敏感信息。</w:t>
      </w:r>
    </w:p>
    <w:p>
      <w:pPr>
        <w:pStyle w:val="Heading2"/>
        <w:keepNext/>
      </w:pPr>
      <w:r>
        <w:t>9.1 当前可核验的源码规模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核验结果 / 待办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微信端 TypeScript/TSX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约 289 个文件、79,799 行（当前工作区粗略统计）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微信端 SCSS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约 107 个文件、60,695 行（当前工作区粗略统计；是否作为程序鉴别材料需人工决定）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Go 后端非测试代码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约 462 个文件、150,580 行（排除 *_test.go，当前工作区粗略统计）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统计限制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工作区有未提交改动，且统计未做生成代码/第三方片段逐文件权属过滤，不能直接填写申请表。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9.2 候选业务文件（仅供人工定位）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860"/>
        <w:gridCol w:w="1800"/>
      </w:tblGrid>
      <w:tr>
        <w:trPr>
          <w:tblHeader w:val="true"/>
        </w:trPr>
        <w:tc>
          <w:tcPr>
            <w:tcW w:type="dxa" w:w="1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58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18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当前行数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首页与日总览</w:t>
            </w:r>
          </w:p>
        </w:tc>
        <w:tc>
          <w:tcPr>
            <w:tcW w:type="dxa" w:w="5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apps/wechat/src/pages/index/index.tsx</w:t>
            </w:r>
          </w:p>
        </w:tc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4,025 行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图片分析入口</w:t>
            </w:r>
          </w:p>
        </w:tc>
        <w:tc>
          <w:tcPr>
            <w:tcW w:type="dxa" w:w="5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apps/wechat/src/packageExtra/pages/analyze/index.tsx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1,928 行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分析结果</w:t>
            </w:r>
          </w:p>
        </w:tc>
        <w:tc>
          <w:tcPr>
            <w:tcW w:type="dxa" w:w="5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apps/wechat/src/packageExtra/pages/result/index.tsx</w:t>
            </w:r>
          </w:p>
        </w:tc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3,582 行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统计页</w:t>
            </w:r>
          </w:p>
        </w:tc>
        <w:tc>
          <w:tcPr>
            <w:tcW w:type="dxa" w:w="5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apps/wechat/src/pages/stats/index.tsx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1,952 行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健康档案</w:t>
            </w:r>
          </w:p>
        </w:tc>
        <w:tc>
          <w:tcPr>
            <w:tcW w:type="dxa" w:w="5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apps/wechat/src/packageExtra/pages/health-profile/index.tsx</w:t>
            </w:r>
          </w:p>
        </w:tc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1,337 行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校园食堂</w:t>
            </w:r>
          </w:p>
        </w:tc>
        <w:tc>
          <w:tcPr>
            <w:tcW w:type="dxa" w:w="5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apps/wechat/src/packageExtra/pages/campus-canteen/index.tsx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1,140 行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分析服务</w:t>
            </w:r>
          </w:p>
        </w:tc>
        <w:tc>
          <w:tcPr>
            <w:tcW w:type="dxa" w:w="5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backend/internal/analyze/service/analyze_service.go</w:t>
            </w:r>
          </w:p>
        </w:tc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8,185 行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统计服务</w:t>
            </w:r>
          </w:p>
        </w:tc>
        <w:tc>
          <w:tcPr>
            <w:tcW w:type="dxa" w:w="5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backend/internal/health/service/stats_service.go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2,801 行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校园餐 Agent</w:t>
            </w:r>
          </w:p>
        </w:tc>
        <w:tc>
          <w:tcPr>
            <w:tcW w:type="dxa" w:w="5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backend/internal/health/service/campus_diet_agent_service.go</w:t>
            </w:r>
          </w:p>
        </w:tc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1,513 行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宠物服务</w:t>
            </w:r>
          </w:p>
        </w:tc>
        <w:tc>
          <w:tcPr>
            <w:tcW w:type="dxa" w:w="5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backend/internal/pet/service/pet_service.go</w:t>
            </w:r>
          </w:p>
        </w:tc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约 1,251 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10. 身份与权属证明清单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情形</w:t>
            </w:r>
          </w:p>
        </w:tc>
        <w:tc>
          <w:tcPr>
            <w:tcW w:type="dxa" w:w="43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应准备文件</w:t>
            </w:r>
          </w:p>
        </w:tc>
        <w:tc>
          <w:tcPr>
            <w:tcW w:type="dxa" w:w="33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核验点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企业申请</w:t>
            </w:r>
          </w:p>
        </w:tc>
        <w:tc>
          <w:tcPr>
            <w:tcW w:type="dxa" w:w="43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营业执照/主体证明；经办人信息与授权（按系统要求）；公章签章页</w:t>
            </w:r>
          </w:p>
        </w:tc>
        <w:tc>
          <w:tcPr>
            <w:tcW w:type="dxa" w:w="3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单位全称、证件号、地址一致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个人申请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有效身份证明；本人签名及系统要求的信息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姓名和号码与实名认证一致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职务开发</w:t>
            </w:r>
          </w:p>
        </w:tc>
        <w:tc>
          <w:tcPr>
            <w:tcW w:type="dxa" w:w="43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劳动合同、岗位/任务书、职务成果制度或权属条款</w:t>
            </w:r>
          </w:p>
        </w:tc>
        <w:tc>
          <w:tcPr>
            <w:tcW w:type="dxa" w:w="3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确认软件著作权归属用人单位的事实基础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合作开发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合作开发协议、贡献和权利分配、代表申请授权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共同著作权人及署名一致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委托开发</w:t>
            </w:r>
          </w:p>
        </w:tc>
        <w:tc>
          <w:tcPr>
            <w:tcW w:type="dxa" w:w="43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委托合同及明确的软件著作权归属条款</w:t>
            </w:r>
          </w:p>
        </w:tc>
        <w:tc>
          <w:tcPr>
            <w:tcW w:type="dxa" w:w="3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没有明确约定时风险较高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受让/继承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转让、继承或承受证明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权利链连续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开源组件</w:t>
            </w:r>
          </w:p>
        </w:tc>
        <w:tc>
          <w:tcPr>
            <w:tcW w:type="dxa" w:w="43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依赖清单、许可证文本、自研与第三方边界说明</w:t>
            </w:r>
          </w:p>
        </w:tc>
        <w:tc>
          <w:tcPr>
            <w:tcW w:type="dxa" w:w="3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不把第三方代码作为自研交存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开发证据</w:t>
            </w:r>
          </w:p>
        </w:tc>
        <w:tc>
          <w:tcPr>
            <w:tcW w:type="dxa" w:w="4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Git 记录、需求/设计记录、测试报告、发布记录、构建 hash</w:t>
            </w:r>
          </w:p>
        </w:tc>
        <w:tc>
          <w:tcPr>
            <w:tcW w:type="dxa" w:w="3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与冻结版本一致并妥善留存</w:t>
            </w:r>
          </w:p>
        </w:tc>
      </w:tr>
      <w:tr>
        <w:tc>
          <w:tcPr>
            <w:tcW w:type="dxa" w:w="1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AI 使用审计</w:t>
            </w:r>
          </w:p>
        </w:tc>
        <w:tc>
          <w:tcPr>
            <w:tcW w:type="dxa" w:w="43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AI 工具使用范围、相关 commit、人工修改记录、官方咨询结论</w:t>
            </w:r>
          </w:p>
        </w:tc>
        <w:tc>
          <w:tcPr>
            <w:tcW w:type="dxa" w:w="33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决定是否能够据实签署新版声明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11. 在线办理流程与内部门禁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资格门禁：确认能够据实签署最新版申请表全部声明，尤其是 AI 使用声明；否则停止。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权属门禁：确定著作权人、开发方式、取得方式和权利范围，补齐合同/任务书/转让证明。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版本门禁：冻结 commit/tag，确认名称、V3.0.2、完成日期和发表状态。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人工材料：研发人员独立撰写主要功能和用户手册，人工整理自研源代码鉴别材料。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一致性复核：申请表、说明书、截图、源码页眉、版本和权利人逐项比对。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敏感信息复核：清理密钥、用户数据、健康资料、内部域名和不必要的商业机密。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登录中国版权保护中心系统：实名认证、按当次表单在线填报、上传系统要求文件。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签章：下载/打印系统生成的新表，由真实经办人按页面要求本人手写、签名、填写身份信息；企业按要求盖章。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提交与留档：保存完整提交副本、文件 hash、提交时间和受理号。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补正：收到通知后在 30 日内由同一负责人核对并补正，保持版本和内容一致。</w:t>
      </w:r>
    </w:p>
    <w:p>
      <w:pPr>
        <w:pStyle w:val="Heading1"/>
        <w:keepNext/>
      </w:pPr>
      <w:r>
        <w:t>12. 一致性复核矩阵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700"/>
        <w:gridCol w:w="2860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对照材料</w:t>
            </w:r>
          </w:p>
        </w:tc>
        <w:tc>
          <w:tcPr>
            <w:tcW w:type="dxa" w:w="28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软件全称</w:t>
            </w:r>
          </w:p>
        </w:tc>
        <w:tc>
          <w:tcPr>
            <w:tcW w:type="dxa" w:w="4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申请表、说明书封面/页眉、源码页眉、截图标题</w:t>
            </w:r>
          </w:p>
        </w:tc>
        <w:tc>
          <w:tcPr>
            <w:tcW w:type="dxa" w:w="2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完全一致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版本号</w:t>
            </w:r>
          </w:p>
        </w:tc>
        <w:tc>
          <w:tcPr>
            <w:tcW w:type="dxa" w:w="4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package.json、冻结 tag、申请表、说明书、源码页眉</w:t>
            </w:r>
          </w:p>
        </w:tc>
        <w:tc>
          <w:tcPr>
            <w:tcW w:type="dxa" w:w="2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完全一致；V 大小写统一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权利人</w:t>
            </w:r>
          </w:p>
        </w:tc>
        <w:tc>
          <w:tcPr>
            <w:tcW w:type="dxa" w:w="4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申请表、身份证明、合同/任务书、说明书署名</w:t>
            </w:r>
          </w:p>
        </w:tc>
        <w:tc>
          <w:tcPr>
            <w:tcW w:type="dxa" w:w="2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法定名称一致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完成/发表日期</w:t>
            </w:r>
          </w:p>
        </w:tc>
        <w:tc>
          <w:tcPr>
            <w:tcW w:type="dxa" w:w="4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Git/发布记录、申请表、说明书</w:t>
            </w:r>
          </w:p>
        </w:tc>
        <w:tc>
          <w:tcPr>
            <w:tcW w:type="dxa" w:w="2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真实且逻辑顺序正确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主要功能</w:t>
            </w:r>
          </w:p>
        </w:tc>
        <w:tc>
          <w:tcPr>
            <w:tcW w:type="dxa" w:w="4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申请表、说明书章节、实际 UI、源码</w:t>
            </w:r>
          </w:p>
        </w:tc>
        <w:tc>
          <w:tcPr>
            <w:tcW w:type="dxa" w:w="2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每项有同版本证据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技术环境</w:t>
            </w:r>
          </w:p>
        </w:tc>
        <w:tc>
          <w:tcPr>
            <w:tcW w:type="dxa" w:w="4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申请表、说明书、依赖版本、部署事实</w:t>
            </w:r>
          </w:p>
        </w:tc>
        <w:tc>
          <w:tcPr>
            <w:tcW w:type="dxa" w:w="2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不写过期 Python 后端或未纳入范围的 App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源程序量</w:t>
            </w:r>
          </w:p>
        </w:tc>
        <w:tc>
          <w:tcPr>
            <w:tcW w:type="dxa" w:w="4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冻结版本统计报告、申请表</w:t>
            </w:r>
          </w:p>
        </w:tc>
        <w:tc>
          <w:tcPr>
            <w:tcW w:type="dxa" w:w="2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统计口径可复算</w:t>
            </w:r>
          </w:p>
        </w:tc>
      </w:tr>
      <w:tr>
        <w:tc>
          <w:tcPr>
            <w:tcW w:type="dxa" w:w="1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AI 使用</w:t>
            </w:r>
          </w:p>
        </w:tc>
        <w:tc>
          <w:tcPr>
            <w:tcW w:type="dxa" w:w="4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新版声明、开发记录、咨询结论</w:t>
            </w:r>
          </w:p>
        </w:tc>
        <w:tc>
          <w:tcPr>
            <w:tcW w:type="dxa" w:w="28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只能如实，不得形式规避</w:t>
            </w:r>
          </w:p>
        </w:tc>
      </w:tr>
      <w:tr>
        <w:tc>
          <w:tcPr>
            <w:tcW w:type="dxa" w:w="18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隐私与健康</w:t>
            </w:r>
          </w:p>
        </w:tc>
        <w:tc>
          <w:tcPr>
            <w:tcW w:type="dxa" w:w="470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说明书、隐私政策、实际权限</w:t>
            </w:r>
          </w:p>
        </w:tc>
        <w:tc>
          <w:tcPr>
            <w:tcW w:type="dxa" w:w="2860"/>
            <w:shd w:fill="FAFBFC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Calibri" w:hAnsi="Calibri" w:eastAsia="Microsoft YaHei"/>
                <w:color w:val="1F2937"/>
                <w:sz w:val="17"/>
              </w:rPr>
              <w:t>不披露真实数据，不夸大医疗能力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常见补正/不予登记风险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软件名称、版本号或权利人署名在不同材料中不一致。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主要功能仍是模板化套话，与截图和代码无法对应，或把未上线规划写成现有功能。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程序/文档页数、连续性或每页行数不符合要求；用截图、配置、空行或重复代码凑页。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提交的不是软件程序和文档，或包含大量第三方、开源、生成代码而无法说明权属。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合作/委托/职务开发未提供足够权属文件，多位开发者与单一申请人之间缺少权利链。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申请表使用旧版，或经办人未按新表要求本人完成承诺、签名和身份信息。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对 AI 使用情况作出与开发记录不符的声明。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补正超过 30 日，或补正时又换了版本、截图和源代码。</w:t>
      </w:r>
    </w:p>
    <w:p>
      <w:pPr>
        <w:pStyle w:val="Heading1"/>
        <w:keepNext/>
      </w:pPr>
      <w:r>
        <w:t>14. 建议的下一步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由项目负责人和法务确定著作权申请主体，并审查劳动/合作/委托/转让文件。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对全仓 Git 历史和开发流程做 AI 使用审计，明确哪些版本、哪些文件使用过 AI。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携带真实事实联系中国版权保护中心，确认新版 AI 声明对人机协作代码和人工重写材料的适用口径，并留存答复。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只有在可以据实签署时，冻结一个 commit/tag；当前有未提交改动，不能直接使用工作目录。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由真实研发人员在冻结版本上独立撰写主要功能和用户手册、人工整理代码交存件；法务只做事实与一致性核验。</w:t>
      </w:r>
    </w:p>
    <w:p>
      <w:pPr>
        <w:pStyle w:val="ListNumber"/>
        <w:spacing w:after="100" w:line="264" w:lineRule="auto"/>
      </w:pPr>
      <w:r>
        <w:rPr>
          <w:rFonts w:ascii="Calibri" w:hAnsi="Calibri" w:eastAsia="Microsoft YaHei"/>
          <w:color w:val="1F2937"/>
          <w:sz w:val="21"/>
        </w:rPr>
        <w:t>提交当天重新核对登记系统的新表字段、签章页和上传要求。</w:t>
      </w:r>
    </w:p>
    <w:p>
      <w:r>
        <w:br w:type="page"/>
      </w:r>
    </w:p>
    <w:p>
      <w:pPr>
        <w:pStyle w:val="Heading1"/>
        <w:keepNext/>
      </w:pPr>
      <w:r>
        <w:t>附录 A：事实来源与法规链接</w:t>
      </w:r>
    </w:p>
    <w:p>
      <w:pPr>
        <w:spacing w:after="80" w:line="252" w:lineRule="auto"/>
        <w:ind w:left="283" w:hanging="283"/>
      </w:pPr>
      <w:r>
        <w:rPr>
          <w:rFonts w:ascii="Calibri" w:hAnsi="Calibri" w:eastAsia="Microsoft YaHei"/>
          <w:b/>
          <w:color w:val="5B6573"/>
          <w:sz w:val="17"/>
        </w:rPr>
        <w:t>国家版权局《计算机软件著作权登记办法》：</w:t>
      </w:r>
      <w:r>
        <w:rPr>
          <w:rFonts w:ascii="Calibri" w:hAnsi="Calibri" w:eastAsia="Microsoft YaHei"/>
          <w:color w:val="2E74B5"/>
          <w:sz w:val="17"/>
        </w:rPr>
        <w:t>https://www.ncac.gov.cn/xxfb/flfg/bmgz/202410/t20241015_869486.html</w:t>
      </w:r>
    </w:p>
    <w:p>
      <w:pPr>
        <w:spacing w:after="80" w:line="252" w:lineRule="auto"/>
        <w:ind w:left="283" w:hanging="283"/>
      </w:pPr>
      <w:r>
        <w:rPr>
          <w:rFonts w:ascii="Calibri" w:hAnsi="Calibri" w:eastAsia="Microsoft YaHei"/>
          <w:b/>
          <w:color w:val="5B6573"/>
          <w:sz w:val="17"/>
        </w:rPr>
        <w:t>深圳市软件行业协会转发中国版权保护中心 2026-03-15 通知及新旧表对比：</w:t>
      </w:r>
      <w:r>
        <w:rPr>
          <w:rFonts w:ascii="Calibri" w:hAnsi="Calibri" w:eastAsia="Microsoft YaHei"/>
          <w:color w:val="2E74B5"/>
          <w:sz w:val="17"/>
        </w:rPr>
        <w:t>https://www.ssia.org.cn/page63?article_id=2588</w:t>
      </w:r>
    </w:p>
    <w:p>
      <w:pPr>
        <w:spacing w:after="80" w:line="252" w:lineRule="auto"/>
        <w:ind w:left="283" w:hanging="283"/>
      </w:pPr>
      <w:r>
        <w:rPr>
          <w:rFonts w:ascii="Calibri" w:hAnsi="Calibri" w:eastAsia="Microsoft YaHei"/>
          <w:b/>
          <w:color w:val="5B6573"/>
          <w:sz w:val="17"/>
        </w:rPr>
        <w:t>澎湃新闻对 2026 新版申请表与经办人实名要求的核验报道：</w:t>
      </w:r>
      <w:r>
        <w:rPr>
          <w:rFonts w:ascii="Calibri" w:hAnsi="Calibri" w:eastAsia="Microsoft YaHei"/>
          <w:color w:val="2E74B5"/>
          <w:sz w:val="17"/>
        </w:rPr>
        <w:t>https://m.thepaper.cn/newsDetail_forward_32781466</w:t>
      </w:r>
    </w:p>
    <w:p>
      <w:pPr>
        <w:spacing w:after="80" w:line="252" w:lineRule="auto"/>
        <w:ind w:left="283" w:hanging="283"/>
      </w:pPr>
      <w:r>
        <w:rPr>
          <w:rFonts w:ascii="Calibri" w:hAnsi="Calibri" w:eastAsia="Microsoft YaHei"/>
          <w:b/>
          <w:color w:val="5B6573"/>
          <w:sz w:val="17"/>
        </w:rPr>
        <w:t>中国版权保护中心著作权登记系统入口：</w:t>
      </w:r>
      <w:r>
        <w:rPr>
          <w:rFonts w:ascii="Calibri" w:hAnsi="Calibri" w:eastAsia="Microsoft YaHei"/>
          <w:color w:val="2E74B5"/>
          <w:sz w:val="17"/>
        </w:rPr>
        <w:t>https://register.ccopyright.com.cn/</w:t>
      </w:r>
    </w:p>
    <w:p>
      <w:pPr>
        <w:keepNext w:val="0"/>
        <w:spacing w:before="160" w:after="120" w:line="264" w:lineRule="auto"/>
      </w:pPr>
      <w:r>
        <w:rPr>
          <w:rFonts w:ascii="Calibri" w:hAnsi="Calibri" w:eastAsia="Microsoft YaHei"/>
          <w:b/>
          <w:i w:val="0"/>
          <w:color w:val="17324D"/>
          <w:sz w:val="21"/>
        </w:rPr>
        <w:t>项目内部事实来源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package.json（版本 3.0.2、Taro/React 等依赖）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apps/wechat/src/app.config.ts（页面、分包和功能入口）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docs/食探-商业计划书-精简版.md（产品定位）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backend/go.mod（Go 版本和服务端依赖）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前后端业务源码与 2026-08-25 本地行数统计</w:t>
      </w:r>
    </w:p>
    <w:p>
      <w:pPr>
        <w:pStyle w:val="ListBullet"/>
        <w:spacing w:after="80" w:line="264" w:lineRule="auto"/>
      </w:pPr>
      <w:r>
        <w:rPr>
          <w:rFonts w:ascii="Calibri" w:hAnsi="Calibri" w:eastAsia="Microsoft YaHei"/>
          <w:color w:val="1F2937"/>
          <w:sz w:val="21"/>
        </w:rPr>
        <w:t>项目持久化状态文件（品牌名、当前任务和技术决策）</w:t>
      </w:r>
    </w:p>
    <w:p>
      <w:pPr>
        <w:pStyle w:val="Heading1"/>
        <w:keepNext/>
      </w:pPr>
      <w:r>
        <w:t>附录 B：申报前签字检查页</w:t>
      </w:r>
    </w:p>
    <w:p>
      <w:pPr>
        <w:keepNext w:val="0"/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F2937"/>
          <w:sz w:val="21"/>
        </w:rPr>
        <w:t>以下项目均由申请人内部真实负责人填写。本页是内部控制记录，不提交登记机构。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660"/>
            <w:shd w:fill="17324D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icrosoft YaHei"/>
                <w:b/>
                <w:color w:val="FFFFFF"/>
                <w:sz w:val="19"/>
              </w:rPr>
              <w:t>核验结果 / 待办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申报软件全称/版本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冻结 commit/tag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著作权人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开发方式/取得方式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AI 使用审计结论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中国版权保护中心咨询记录编号/日期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____________________________________________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研发负责人复核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签名：________________  日期：____________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法务/权属负责人复核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签名：________________  日期：____________</w:t>
            </w:r>
          </w:p>
        </w:tc>
      </w:tr>
      <w:tr>
        <w:tc>
          <w:tcPr>
            <w:tcW w:type="dxa" w:w="2700"/>
            <w:shd w:fill="F2F4F7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b/>
                <w:color w:val="17324D"/>
                <w:sz w:val="19"/>
              </w:rPr>
              <w:t>经办人确认可据实签署最新版申请表</w:t>
            </w:r>
          </w:p>
        </w:tc>
        <w:tc>
          <w:tcPr>
            <w:tcW w:type="dxa" w:w="6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 w:eastAsia="Microsoft YaHei"/>
                <w:color w:val="1F2937"/>
                <w:sz w:val="19"/>
              </w:rPr>
              <w:t>签名：________________  日期：____________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DECEC"/>
          </w:tcPr>
          <w:p>
            <w:pPr>
              <w:spacing w:after="60"/>
            </w:pPr>
            <w:r>
              <w:rPr>
                <w:rFonts w:ascii="Calibri" w:hAnsi="Calibri" w:eastAsia="Microsoft YaHei"/>
                <w:b/>
                <w:color w:val="9B1C1C"/>
                <w:sz w:val="21"/>
              </w:rPr>
              <w:t>最终提醒</w:t>
            </w:r>
          </w:p>
          <w:p>
            <w:pPr>
              <w:spacing w:after="0" w:line="269" w:lineRule="auto"/>
            </w:pPr>
            <w:r>
              <w:rPr>
                <w:rFonts w:ascii="Calibri" w:hAnsi="Calibri" w:eastAsia="Microsoft YaHei"/>
                <w:color w:val="1F2937"/>
                <w:sz w:val="20"/>
              </w:rPr>
              <w:t>只有当申请人能够对最新版申请表中的全部声明承担真实、完整的法律责任时，才进入提交。任何人不得把本 AI 辅助底稿当作“未使用 AI 生成登记申请材料”的证明。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76" w:right="1332" w:bottom="1219" w:left="1332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B6573"/>
        <w:sz w:val="16"/>
      </w:rPr>
      <w:t xml:space="preserve">内部事实核对与人工撰写工作底稿  |  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B6573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5B6573"/>
        <w:sz w:val="17"/>
      </w:rPr>
      <w:t>智健食探软著申报工作底稿</w:t>
    </w:r>
    <w:r>
      <w:rPr>
        <w:rFonts w:ascii="Calibri" w:hAnsi="Calibri" w:eastAsia="Microsoft YaHei"/>
        <w:b/>
        <w:color w:val="9B1C1C"/>
        <w:sz w:val="17"/>
      </w:rPr>
      <w:t xml:space="preserve">    内部资料 · AI 辅助整理 · 不得直接提交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智健食探软著申报事实核对与人工撰写工作底稿 V3.0.2</dc:title>
  <dc:subject>软件著作权申报内部合规工作底稿</dc:subject>
  <dc:creator>food_link 项目组（AI 辅助整理，须人工核验）</dc:creator>
  <cp:keywords>智健食探, 软件著作权, 内部底稿, AI合规</cp:keywords>
  <dc:description>本文件不得直接作为软件著作权登记申请材料提交。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