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80"/>
        <w:jc w:val="center"/>
      </w:pPr>
      <w:r>
        <w:rPr>
          <w:rFonts w:ascii="Times New Roman" w:hAnsi="Times New Roman" w:eastAsia="宋体"/>
          <w:b w:val="0"/>
          <w:color w:val="595959"/>
          <w:sz w:val="24"/>
        </w:rPr>
        <w:t>《软件系统分析与设计》课程实践作业 3</w:t>
      </w:r>
    </w:p>
    <w:p>
      <w:pPr>
        <w:spacing w:before="40" w:after="40"/>
        <w:jc w:val="center"/>
      </w:pPr>
      <w:r>
        <w:rPr>
          <w:rFonts w:ascii="Times New Roman" w:hAnsi="Times New Roman" w:eastAsia="黑体"/>
          <w:b/>
          <w:color w:val="1F4E78"/>
          <w:sz w:val="50"/>
        </w:rPr>
        <w:t>智 能 笔 记 助 手</w:t>
      </w:r>
    </w:p>
    <w:p>
      <w:pPr>
        <w:spacing w:before="0" w:after="160"/>
        <w:jc w:val="center"/>
      </w:pPr>
      <w:r>
        <w:rPr>
          <w:rFonts w:ascii="Times New Roman" w:hAnsi="Times New Roman" w:eastAsia="黑体"/>
          <w:b/>
          <w:color w:val="1F4E78"/>
          <w:sz w:val="50"/>
        </w:rPr>
        <w:t>需 求 分 析 报 告</w:t>
      </w:r>
    </w:p>
    <w:p>
      <w:pPr>
        <w:spacing w:before="80" w:after="600"/>
        <w:jc w:val="center"/>
      </w:pPr>
      <w:r>
        <w:rPr>
          <w:rFonts w:ascii="Times New Roman" w:hAnsi="Times New Roman" w:eastAsia="宋体"/>
          <w:b w:val="0"/>
          <w:color w:val="595959"/>
          <w:sz w:val="22"/>
        </w:rPr>
        <w:t>业务对象识别　·　核心业务类图　·　关键流程时序图　·　模型一致性检查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课程名称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软件系统分析与设计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实践项目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智能笔记助手（内置 AI 助手的智能阅读器）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作业阶段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作业 3 · 需求分析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组别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第 2 组（第二小组）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文档版本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V1.0（课堂汇报展示版）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编制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汪昊（W10 需求分析报告）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审核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郭谦（组长 · 口径与模型定稿）</w:t>
      </w:r>
    </w:p>
    <w:p>
      <w:pPr>
        <w:tabs>
          <w:tab w:pos="2948" w:val="right"/>
          <w:tab w:pos="3203" w:val="left"/>
        </w:tabs>
        <w:spacing w:before="60" w:after="60" w:line="312" w:lineRule="auto"/>
      </w:pPr>
      <w:r>
        <w:rPr>
          <w:rFonts w:ascii="Times New Roman" w:hAnsi="Times New Roman" w:eastAsia="宋体"/>
          <w:b w:val="0"/>
          <w:color w:val="595959"/>
          <w:sz w:val="21"/>
        </w:rPr>
        <w:tab/>
        <w:t>编制日期</w:t>
        <w:tab/>
      </w:r>
      <w:r>
        <w:rPr>
          <w:rFonts w:ascii="Times New Roman" w:hAnsi="Times New Roman" w:eastAsia="宋体"/>
          <w:b w:val="0"/>
          <w:color w:val="1F2937"/>
          <w:sz w:val="21"/>
        </w:rPr>
        <w:t>2026 年 10 月 27 日</w:t>
      </w:r>
    </w:p>
    <w:p>
      <w:pPr>
        <w:spacing w:before="640" w:after="120"/>
        <w:jc w:val="center"/>
      </w:pPr>
      <w:r>
        <w:rPr>
          <w:rFonts w:ascii="Times New Roman" w:hAnsi="Times New Roman" w:eastAsia="黑体"/>
          <w:b/>
          <w:color w:val="1F4E78"/>
          <w:sz w:val="21"/>
        </w:rPr>
        <w:t>第 2 组成员与分工</w:t>
      </w:r>
    </w:p>
    <w:p>
      <w:pPr>
        <w:tabs>
          <w:tab w:pos="2948" w:val="right"/>
          <w:tab w:pos="3203" w:val="left"/>
        </w:tabs>
        <w:spacing w:before="40" w:after="40" w:line="312" w:lineRule="auto"/>
      </w:pPr>
      <w:r>
        <w:rPr>
          <w:rFonts w:ascii="Times New Roman" w:hAnsi="Times New Roman" w:eastAsia="宋体"/>
          <w:b/>
          <w:color w:val="1F2937"/>
          <w:sz w:val="19"/>
        </w:rPr>
        <w:tab/>
        <w:t>郭谦（组长）</w:t>
        <w:tab/>
      </w:r>
      <w:r>
        <w:rPr>
          <w:rFonts w:ascii="Times New Roman" w:hAnsi="Times New Roman" w:eastAsia="宋体"/>
          <w:b w:val="0"/>
          <w:color w:val="595959"/>
          <w:sz w:val="19"/>
        </w:rPr>
        <w:t>业务对象清单 · 类候选集 · 核心业务类图 · 一致性检查 · 讲稿与问答</w:t>
      </w:r>
    </w:p>
    <w:p>
      <w:pPr>
        <w:tabs>
          <w:tab w:pos="2948" w:val="right"/>
          <w:tab w:pos="3203" w:val="left"/>
        </w:tabs>
        <w:spacing w:before="40" w:after="40" w:line="312" w:lineRule="auto"/>
      </w:pPr>
      <w:r>
        <w:rPr>
          <w:rFonts w:ascii="Times New Roman" w:hAnsi="Times New Roman" w:eastAsia="宋体"/>
          <w:b/>
          <w:color w:val="1F2937"/>
          <w:sz w:val="19"/>
        </w:rPr>
        <w:tab/>
        <w:t>程禹轩</w:t>
        <w:tab/>
      </w:r>
      <w:r>
        <w:rPr>
          <w:rFonts w:ascii="Times New Roman" w:hAnsi="Times New Roman" w:eastAsia="宋体"/>
          <w:b w:val="0"/>
          <w:color w:val="595959"/>
          <w:sz w:val="19"/>
        </w:rPr>
        <w:t>数据采集入库流程脚本 · 图 2 时序图 · 图注说明</w:t>
      </w:r>
    </w:p>
    <w:p>
      <w:pPr>
        <w:tabs>
          <w:tab w:pos="2948" w:val="right"/>
          <w:tab w:pos="3203" w:val="left"/>
        </w:tabs>
        <w:spacing w:before="40" w:after="40" w:line="312" w:lineRule="auto"/>
      </w:pPr>
      <w:r>
        <w:rPr>
          <w:rFonts w:ascii="Times New Roman" w:hAnsi="Times New Roman" w:eastAsia="宋体"/>
          <w:b/>
          <w:color w:val="1F2937"/>
          <w:sz w:val="19"/>
        </w:rPr>
        <w:tab/>
        <w:t>朱紫轩</w:t>
        <w:tab/>
      </w:r>
      <w:r>
        <w:rPr>
          <w:rFonts w:ascii="Times New Roman" w:hAnsi="Times New Roman" w:eastAsia="宋体"/>
          <w:b w:val="0"/>
          <w:color w:val="595959"/>
          <w:sz w:val="19"/>
        </w:rPr>
        <w:t>门户认领审核流程脚本 · 图 3 时序图 · 图注说明</w:t>
      </w:r>
    </w:p>
    <w:p>
      <w:pPr>
        <w:tabs>
          <w:tab w:pos="2948" w:val="right"/>
          <w:tab w:pos="3203" w:val="left"/>
        </w:tabs>
        <w:spacing w:before="40" w:after="40" w:line="312" w:lineRule="auto"/>
      </w:pPr>
      <w:r>
        <w:rPr>
          <w:rFonts w:ascii="Times New Roman" w:hAnsi="Times New Roman" w:eastAsia="宋体"/>
          <w:b/>
          <w:color w:val="1F2937"/>
          <w:sz w:val="19"/>
        </w:rPr>
        <w:tab/>
        <w:t>廖欣豪</w:t>
        <w:tab/>
      </w:r>
      <w:r>
        <w:rPr>
          <w:rFonts w:ascii="Times New Roman" w:hAnsi="Times New Roman" w:eastAsia="宋体"/>
          <w:b w:val="0"/>
          <w:color w:val="595959"/>
          <w:sz w:val="19"/>
        </w:rPr>
        <w:t>检索请求处理流程脚本 · 图 4 时序图 · 图注说明</w:t>
      </w:r>
    </w:p>
    <w:p>
      <w:pPr>
        <w:tabs>
          <w:tab w:pos="2948" w:val="right"/>
          <w:tab w:pos="3203" w:val="left"/>
        </w:tabs>
        <w:spacing w:before="40" w:after="40" w:line="312" w:lineRule="auto"/>
      </w:pPr>
      <w:r>
        <w:rPr>
          <w:rFonts w:ascii="Times New Roman" w:hAnsi="Times New Roman" w:eastAsia="宋体"/>
          <w:b/>
          <w:color w:val="1F2937"/>
          <w:sz w:val="19"/>
        </w:rPr>
        <w:tab/>
        <w:t>汪昊</w:t>
        <w:tab/>
      </w:r>
      <w:r>
        <w:rPr>
          <w:rFonts w:ascii="Times New Roman" w:hAnsi="Times New Roman" w:eastAsia="宋体"/>
          <w:b w:val="0"/>
          <w:color w:val="595959"/>
          <w:sz w:val="19"/>
        </w:rPr>
        <w:t>需求分析报告 · 汇报 PPT · AI 使用声明</w:t>
      </w:r>
    </w:p>
    <w:p>
      <w:pPr>
        <w:spacing w:before="60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北京航空航天大学软件学院　|　2026-2027 学年第 1 学期</w:t>
        <w:br w:type="page"/>
      </w:r>
    </w:p>
    <w:p>
      <w:pPr>
        <w:spacing w:before="80" w:after="180"/>
      </w:pPr>
      <w:r>
        <w:rPr>
          <w:rFonts w:ascii="Times New Roman" w:hAnsi="Times New Roman" w:eastAsia="黑体"/>
          <w:b/>
          <w:color w:val="1F4E78"/>
          <w:sz w:val="30"/>
        </w:rPr>
        <w:t>目 录 与 图 表 索 引</w:t>
      </w:r>
    </w:p>
    <w:p>
      <w:pPr>
        <w:keepNext w:val="0"/>
        <w:spacing w:before="0" w:after="160" w:line="341" w:lineRule="auto"/>
        <w:jc w:val="both"/>
      </w:pPr>
      <w:r>
        <w:rPr>
          <w:rFonts w:ascii="Times New Roman" w:hAnsi="Times New Roman" w:eastAsia="宋体"/>
          <w:b w:val="0"/>
          <w:color w:val="595959"/>
          <w:sz w:val="19"/>
        </w:rPr>
        <w:t>本报告共 7 节、5 张表、4 张图、2 个附录。报告与汇报 PPT 共用同一套图号与表号，不各自编号。</w:t>
      </w:r>
    </w:p>
    <w:tbl>
      <w:tblPr>
        <w:tblW w:type="dxa" w:w="9128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1077"/>
        <w:gridCol w:w="2438"/>
        <w:gridCol w:w="5613"/>
      </w:tblGrid>
      <w:tr>
        <w:trPr>
          <w:tblHeader/>
          <w:cantSplit/>
        </w:trPr>
        <w:tc>
          <w:tcPr>
            <w:tcW w:type="dxa" w:w="1077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节</w:t>
            </w:r>
          </w:p>
        </w:tc>
        <w:tc>
          <w:tcPr>
            <w:tcW w:type="dxa" w:w="243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标题</w:t>
            </w:r>
          </w:p>
        </w:tc>
        <w:tc>
          <w:tcPr>
            <w:tcW w:type="dxa" w:w="5613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主要内容 / 对应图表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1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概述与范围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本阶段分析什么、不分析什么、与上游材料的衔接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2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业务对象识别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表 1　24 个业务对象与五个簇、识别依据、边界判定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3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核心业务类图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图 1　21 个核心业务类、五条关系主线、三个关键判断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4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关键流程时序图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图 2 / 图 3 / 图 4　三条流程的触发、主消息链与结束标志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5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模型一致性检查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表 2　三向核对方法、两轮共 9 处修正、非业务对象约定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6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AI 使用声明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AI 参与环节、生成内容与人工确认边界（摘要）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7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小结与后续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本阶段结论、遗留项与向设计阶段的移交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附录 A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图件与源文件对照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表 A-1　四张定稿图的源文件、导出件与版本</w:t>
            </w:r>
          </w:p>
        </w:tc>
      </w:tr>
      <w:tr>
        <w:trPr>
          <w:cantSplit/>
        </w:trPr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附录 B</w:t>
            </w:r>
          </w:p>
        </w:tc>
        <w:tc>
          <w:tcPr>
            <w:tcW w:type="dxa" w:w="243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交付物与版本记录</w:t>
            </w:r>
          </w:p>
        </w:tc>
        <w:tc>
          <w:tcPr>
            <w:tcW w:type="dxa" w:w="561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表 B-1　本报告与配套材料清单</w:t>
            </w:r>
          </w:p>
        </w:tc>
      </w:tr>
    </w:tbl>
    <w:p>
      <w:pPr>
        <w:spacing w:before="280" w:after="80"/>
      </w:pPr>
      <w:r>
        <w:rPr>
          <w:rFonts w:ascii="Times New Roman" w:hAnsi="Times New Roman" w:eastAsia="黑体"/>
          <w:b/>
          <w:color w:val="1F2937"/>
          <w:sz w:val="22"/>
        </w:rPr>
        <w:t>文档信息与修订记录</w:t>
      </w:r>
    </w:p>
    <w:tbl>
      <w:tblPr>
        <w:tblW w:type="dxa" w:w="9127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850"/>
        <w:gridCol w:w="1304"/>
        <w:gridCol w:w="1134"/>
        <w:gridCol w:w="5839"/>
      </w:tblGrid>
      <w:tr>
        <w:trPr>
          <w:tblHeader/>
          <w:cantSplit/>
        </w:trPr>
        <w:tc>
          <w:tcPr>
            <w:tcW w:type="dxa" w:w="850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版本</w:t>
            </w:r>
          </w:p>
        </w:tc>
        <w:tc>
          <w:tcPr>
            <w:tcW w:type="dxa" w:w="130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日期</w:t>
            </w:r>
          </w:p>
        </w:tc>
        <w:tc>
          <w:tcPr>
            <w:tcW w:type="dxa" w:w="113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修订人</w:t>
            </w:r>
          </w:p>
        </w:tc>
        <w:tc>
          <w:tcPr>
            <w:tcW w:type="dxa" w:w="583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8"/>
              </w:rPr>
              <w:t>修订内容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V1.0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2026-10-27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汪昊</w:t>
            </w:r>
          </w:p>
        </w:tc>
        <w:tc>
          <w:tcPr>
            <w:tcW w:type="dxa" w:w="58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8"/>
              </w:rPr>
              <w:t>首次成稿：按《报告章节与图件对照骨架 v0.1》填齐 7 节，嵌入组长定稿的对象清单、类图 v0.2 与三张时序图 v0.2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说明：本报告口径以《01-业务对象清单 v0.1》《核心业务类图 v0.2》《三张时序图 v0.2》《04-模型一致性检查表 v0.2》为准，四份材料与本报告同时归档在 2 组仓库 工作区/需求分析/ 下；报告只做汇总与解释，不新造对象、不新起图号。</w:t>
        <w:br w:type="page"/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1　概述与范围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1.1　项目与阶段定位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本项目是「智能笔记助手」——一套内置 AI 助手的阅读与笔记系统。用户把 PDF、Word、Markdown、网页快照等资料导入系统，系统完成解析、切块与索引；用户在授权范围内检索或提问，得到</w:t>
      </w:r>
      <w:r>
        <w:rPr>
          <w:rFonts w:ascii="Times New Roman" w:hAnsi="Times New Roman" w:eastAsia="宋体"/>
          <w:b/>
          <w:color w:val="1F2937"/>
          <w:sz w:val="21"/>
        </w:rPr>
        <w:t>带原文证据与引用</w:t>
      </w:r>
      <w:r>
        <w:rPr>
          <w:rFonts w:ascii="Times New Roman" w:hAnsi="Times New Roman" w:eastAsia="宋体"/>
          <w:b w:val="0"/>
          <w:color w:val="1F2937"/>
          <w:sz w:val="21"/>
        </w:rPr>
        <w:t>的回答，并把结论沉淀为笔记；用户整理出的成果还可以发布到知识门户，被他人认领与审核。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本阶段（作业 3 · 需求分析）只回答三个问题：系统里</w:t>
      </w:r>
      <w:r>
        <w:rPr>
          <w:rFonts w:ascii="Times New Roman" w:hAnsi="Times New Roman" w:eastAsia="宋体"/>
          <w:b/>
          <w:color w:val="1F2937"/>
          <w:sz w:val="21"/>
        </w:rPr>
        <w:t>有哪些业务对象</w:t>
      </w:r>
      <w:r>
        <w:rPr>
          <w:rFonts w:ascii="Times New Roman" w:hAnsi="Times New Roman" w:eastAsia="宋体"/>
          <w:b w:val="0"/>
          <w:color w:val="1F2937"/>
          <w:sz w:val="21"/>
        </w:rPr>
        <w:t>、这些对象之间</w:t>
      </w:r>
      <w:r>
        <w:rPr>
          <w:rFonts w:ascii="Times New Roman" w:hAnsi="Times New Roman" w:eastAsia="宋体"/>
          <w:b/>
          <w:color w:val="1F2937"/>
          <w:sz w:val="21"/>
        </w:rPr>
        <w:t>是什么静态关系</w:t>
      </w:r>
      <w:r>
        <w:rPr>
          <w:rFonts w:ascii="Times New Roman" w:hAnsi="Times New Roman" w:eastAsia="宋体"/>
          <w:b w:val="0"/>
          <w:color w:val="1F2937"/>
          <w:sz w:val="21"/>
        </w:rPr>
        <w:t>、以及</w:t>
      </w:r>
      <w:r>
        <w:rPr>
          <w:rFonts w:ascii="Times New Roman" w:hAnsi="Times New Roman" w:eastAsia="宋体"/>
          <w:b/>
          <w:color w:val="1F2937"/>
          <w:sz w:val="21"/>
        </w:rPr>
        <w:t>三条最关键的业务流程怎么走</w:t>
      </w:r>
      <w:r>
        <w:rPr>
          <w:rFonts w:ascii="Times New Roman" w:hAnsi="Times New Roman" w:eastAsia="宋体"/>
          <w:b w:val="0"/>
          <w:color w:val="1F2937"/>
          <w:sz w:val="21"/>
        </w:rPr>
        <w:t>。对应交付物是：一份业务对象清单（表 1）、一张核心业务类图（图 1）、三张关键流程时序图（图 2–图 4），以及贯穿四者的模型一致性检查（表 2）。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1.2　分析范围：两个业务域、三条关键流程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本阶段把系统收敛为两个稳定业务域：一是</w:t>
      </w:r>
      <w:r>
        <w:rPr>
          <w:rFonts w:ascii="Times New Roman" w:hAnsi="Times New Roman" w:eastAsia="宋体"/>
          <w:b/>
          <w:color w:val="1F2937"/>
          <w:sz w:val="21"/>
        </w:rPr>
        <w:t>个人阅读与智能笔记域</w:t>
      </w:r>
      <w:r>
        <w:rPr>
          <w:rFonts w:ascii="Times New Roman" w:hAnsi="Times New Roman" w:eastAsia="宋体"/>
          <w:b w:val="0"/>
          <w:color w:val="1F2937"/>
          <w:sz w:val="21"/>
        </w:rPr>
        <w:t>（文档导入、解析、索引、检索、问答、笔记、导出）；二是</w:t>
      </w:r>
      <w:r>
        <w:rPr>
          <w:rFonts w:ascii="Times New Roman" w:hAnsi="Times New Roman" w:eastAsia="宋体"/>
          <w:b/>
          <w:color w:val="1F2937"/>
          <w:sz w:val="21"/>
        </w:rPr>
        <w:t>知识门户治理域</w:t>
      </w:r>
      <w:r>
        <w:rPr>
          <w:rFonts w:ascii="Times New Roman" w:hAnsi="Times New Roman" w:eastAsia="宋体"/>
          <w:b w:val="0"/>
          <w:color w:val="1F2937"/>
          <w:sz w:val="21"/>
        </w:rPr>
        <w:t>（把符合条件的文档、摘要或笔记整理结果发布到门户，并支持作者认领与审核）。这里的“门户”指智能笔记助手内部的知识门户，不是外部独立平台。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三条关键流程分别覆盖「内容进来 → 内容被治理 → 内容被使用」：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数据采集入库（图 2）</w:t>
      </w:r>
      <w:r>
        <w:rPr>
          <w:rFonts w:ascii="Times New Roman" w:hAnsi="Times New Roman" w:eastAsia="宋体"/>
          <w:b w:val="0"/>
          <w:color w:val="1F2937"/>
          <w:sz w:val="21"/>
        </w:rPr>
        <w:t>：把外部资料稳定导入，并形成可检索、可引用、可追溯的文档资源。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门户认领审核（图 3）</w:t>
      </w:r>
      <w:r>
        <w:rPr>
          <w:rFonts w:ascii="Times New Roman" w:hAnsi="Times New Roman" w:eastAsia="宋体"/>
          <w:b w:val="0"/>
          <w:color w:val="1F2937"/>
          <w:sz w:val="21"/>
        </w:rPr>
        <w:t>：门户条目被真实作者认领，经审核确认后回写归属，形成“个人整理 → 公共沉淀”的闭环。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检索请求处理（图 4）</w:t>
      </w:r>
      <w:r>
        <w:rPr>
          <w:rFonts w:ascii="Times New Roman" w:hAnsi="Times New Roman" w:eastAsia="宋体"/>
          <w:b w:val="0"/>
          <w:color w:val="1F2937"/>
          <w:sz w:val="21"/>
        </w:rPr>
        <w:t>：在权限约束下返回可追溯的检索结果与带引用的回答结果。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选这三条而不是更多，理由是同一条判断标准：它们各自是所在业务域的主干，且都以“状态发生可判定的变化”结束；其他流程要么是支撑性的（日志、配置、配额），要么是主干上的分支，不影响对系统结构的理解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1.3　本阶段刻意不展开的内容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需求分析阶段最容易被追问的是“为什么这里没有 X”。以下五类内容本阶段</w:t>
      </w:r>
      <w:r>
        <w:rPr>
          <w:rFonts w:ascii="Times New Roman" w:hAnsi="Times New Roman" w:eastAsia="宋体"/>
          <w:b/>
          <w:color w:val="1F2937"/>
          <w:sz w:val="21"/>
        </w:rPr>
        <w:t>刻意不展开</w:t>
      </w:r>
      <w:r>
        <w:rPr>
          <w:rFonts w:ascii="Times New Roman" w:hAnsi="Times New Roman" w:eastAsia="宋体"/>
          <w:b w:val="0"/>
          <w:color w:val="1F2937"/>
          <w:sz w:val="21"/>
        </w:rPr>
        <w:t>，留待架构与构件设计阶段：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1"/>
        </w:rPr>
        <w:t>数据库表结构、字段类型、主外键与索引设计；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1"/>
        </w:rPr>
        <w:t>接口协议、消息格式、错误码全集与幂等键；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1"/>
        </w:rPr>
        <w:t>微服务划分、部署拓扑、中间件与云资源选型；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1"/>
        </w:rPr>
        <w:t>界面原型、视觉稿与交互细节；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 w:val="0"/>
          <w:color w:val="1F2937"/>
          <w:sz w:val="21"/>
        </w:rPr>
        <w:t>全量异常分支——本阶段只保留</w:t>
      </w:r>
      <w:r>
        <w:rPr>
          <w:rFonts w:ascii="Times New Roman" w:hAnsi="Times New Roman" w:eastAsia="宋体"/>
          <w:b/>
          <w:color w:val="1F2937"/>
          <w:sz w:val="21"/>
        </w:rPr>
        <w:t>会改变业务结论</w:t>
      </w:r>
      <w:r>
        <w:rPr>
          <w:rFonts w:ascii="Times New Roman" w:hAnsi="Times New Roman" w:eastAsia="宋体"/>
          <w:b w:val="0"/>
          <w:color w:val="1F2937"/>
          <w:sz w:val="21"/>
        </w:rPr>
        <w:t>的分支（如“拒绝导入”“转待复核”“检索降级”）。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这条边界的意义在于：分析模型要经得起“为什么不到设计层”的追问，而不是把设计提前写死、导致后续无法调整。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1.4　与上游材料的衔接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本阶段的基线是需求调研与需求建模 V0.3 的产出：SRS 条目、UC01–UC12 用例、FR-01–FR-12 功能需求、BR01–BR15 业务规则、NFR-01–NFR-14 非功能需求，以及领域模型中的 22 个类。本阶段遵守三条衔接约定：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沿用而非另起</w:t>
      </w:r>
      <w:r>
        <w:rPr>
          <w:rFonts w:ascii="Times New Roman" w:hAnsi="Times New Roman" w:eastAsia="宋体"/>
          <w:b w:val="0"/>
          <w:color w:val="1F2937"/>
          <w:sz w:val="21"/>
        </w:rPr>
        <w:t>：对象命名尽量沿用上游术语（如 Document→文档、DocumentVersion→文档版本、ParseRun→解析任务），确需改名时在《04-模型一致性检查表》里登记新旧对应。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新增要留痕</w:t>
      </w:r>
      <w:r>
        <w:rPr>
          <w:rFonts w:ascii="Times New Roman" w:hAnsi="Times New Roman" w:eastAsia="宋体"/>
          <w:b w:val="0"/>
          <w:color w:val="1F2937"/>
          <w:sz w:val="21"/>
        </w:rPr>
        <w:t>：新增对象（如门户治理簇的四个对象）在表 1 的“识别依据”列显式标注“本阶段新增”，不以“已有需求”包装，缺口同时列入 §7.2 遗留项。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清单即母版</w:t>
      </w:r>
      <w:r>
        <w:rPr>
          <w:rFonts w:ascii="Times New Roman" w:hAnsi="Times New Roman" w:eastAsia="宋体"/>
          <w:b w:val="0"/>
          <w:color w:val="1F2937"/>
          <w:sz w:val="21"/>
        </w:rPr>
        <w:t>：图里出现的业务对象必须能在清单中找到 BO 编号；不在清单里的名字不允许上图（见 §5.4）。</w:t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2　业务对象识别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2.1　识别方法：三个动作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我们没有按“页面”或“功能菜单”去拆对象，而是按“</w:t>
      </w:r>
      <w:r>
        <w:rPr>
          <w:rFonts w:ascii="Times New Roman" w:hAnsi="Times New Roman" w:eastAsia="宋体"/>
          <w:b/>
          <w:color w:val="1F2937"/>
          <w:sz w:val="21"/>
        </w:rPr>
        <w:t>业务上真实存在、需要被系统长期管理的东西</w:t>
      </w:r>
      <w:r>
        <w:rPr>
          <w:rFonts w:ascii="Times New Roman" w:hAnsi="Times New Roman" w:eastAsia="宋体"/>
          <w:b w:val="0"/>
          <w:color w:val="1F2937"/>
          <w:sz w:val="21"/>
        </w:rPr>
        <w:t>”来拆。具体做三个动作：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① 从流程倒推</w:t>
      </w:r>
      <w:r>
        <w:rPr>
          <w:rFonts w:ascii="Times New Roman" w:hAnsi="Times New Roman" w:eastAsia="宋体"/>
          <w:b w:val="0"/>
          <w:color w:val="1F2937"/>
          <w:sz w:val="21"/>
        </w:rPr>
        <w:t>：对每条关键流程逐跳追问“这里被创建、被修改、被查询、被移交的是什么”。例如入库流程里被创建的有文档、文档版本、内容块、索引；被追踪状态的有解析任务与索引任务。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② 用上游正校</w:t>
      </w:r>
      <w:r>
        <w:rPr>
          <w:rFonts w:ascii="Times New Roman" w:hAnsi="Times New Roman" w:eastAsia="宋体"/>
          <w:b w:val="0"/>
          <w:color w:val="1F2937"/>
          <w:sz w:val="21"/>
        </w:rPr>
        <w:t>：把候选对象对回 UC01–UC12、FR、BR、NFR 与领域模型，凡是能被某条需求“认领”的保留，认领不了的标注为本阶段新增并说明理由。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③ 排除交互制品</w:t>
      </w:r>
      <w:r>
        <w:rPr>
          <w:rFonts w:ascii="Times New Roman" w:hAnsi="Times New Roman" w:eastAsia="宋体"/>
          <w:b w:val="0"/>
          <w:color w:val="1F2937"/>
          <w:sz w:val="21"/>
        </w:rPr>
        <w:t>：界面、控制器、外部系统、角色细分一律不计入业务对象——它们是交互制品或系统边界的组成部分，不是业务要长期管理的东西（判定规则见 §2.3）。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 xml:space="preserve">最终得到 </w:t>
      </w:r>
      <w:r>
        <w:rPr>
          <w:rFonts w:ascii="Times New Roman" w:hAnsi="Times New Roman" w:eastAsia="宋体"/>
          <w:b/>
          <w:color w:val="1F2937"/>
          <w:sz w:val="21"/>
        </w:rPr>
        <w:t>24 个业务对象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，其中 </w:t>
      </w:r>
      <w:r>
        <w:rPr>
          <w:rFonts w:ascii="Times New Roman" w:hAnsi="Times New Roman" w:eastAsia="宋体"/>
          <w:b/>
          <w:color w:val="1F2937"/>
          <w:sz w:val="21"/>
        </w:rPr>
        <w:t>21 个</w:t>
      </w:r>
      <w:r>
        <w:rPr>
          <w:rFonts w:ascii="Times New Roman" w:hAnsi="Times New Roman" w:eastAsia="宋体"/>
          <w:b w:val="0"/>
          <w:color w:val="1F2937"/>
          <w:sz w:val="21"/>
        </w:rPr>
        <w:t>进入核心业务类图；通知、审计事件、模型配置 3 个作为跨流程支撑对象，只在时序图与说明文档中出现。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2.2　识别结果：24 个对象、五个簇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1　业务对象清单（24 个；“识别依据”列同时说明该对象为什么成立）</w:t>
      </w:r>
    </w:p>
    <w:tbl>
      <w:tblPr>
        <w:tblW w:type="dxa" w:w="9128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822"/>
        <w:gridCol w:w="1191"/>
        <w:gridCol w:w="3118"/>
        <w:gridCol w:w="2693"/>
        <w:gridCol w:w="1304"/>
      </w:tblGrid>
      <w:tr>
        <w:trPr>
          <w:tblHeader/>
          <w:cantSplit/>
        </w:trPr>
        <w:tc>
          <w:tcPr>
            <w:tcW w:type="dxa" w:w="822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编号</w:t>
            </w:r>
          </w:p>
        </w:tc>
        <w:tc>
          <w:tcPr>
            <w:tcW w:type="dxa" w:w="1191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业务对象</w:t>
            </w:r>
          </w:p>
        </w:tc>
        <w:tc>
          <w:tcPr>
            <w:tcW w:type="dxa" w:w="311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职责（一句话）</w:t>
            </w:r>
          </w:p>
        </w:tc>
        <w:tc>
          <w:tcPr>
            <w:tcW w:type="dxa" w:w="2693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识别依据（上游对应）</w:t>
            </w:r>
          </w:p>
        </w:tc>
        <w:tc>
          <w:tcPr>
            <w:tcW w:type="dxa" w:w="130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进类图 · 归属簇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BO-01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用户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发起导入、检索、认领、审核与导出的行为主体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UC01–UC12 参与者；领域模型 User；R-03 多重度修订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资源管理簇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BO-02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工作区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组织文档、笔记、策略与协作范围的业务容器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领域模型 Workspace；R-03；FR-09 隐私与权限设置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资源管理簇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BO-03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文档空间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工作区内管理一组文档资源的逻辑空间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FR-01 导入与登记；领域模型 DocumentSpace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资源管理簇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BO-04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被导入、解析、索引、检索与引用的原始资料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FR-01；UC01、UC03；领域模型 Document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资源管理簇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BO-05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文档版本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文档在某一时刻的稳定内容快照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NFR-05 溯源字段；BR06 失效传播；DocumentVersion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资源管理簇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BO-06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解析任务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对文档执行解析、切块与结构抽取的运行实例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FR-02；UC02、UC04；领域模型 ParseRun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采集与索引簇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BO-07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内容块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从文档版本切分出的可检索、可引用的最小内容单元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NFR-05；BR06；领域模型 ContentBlock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资源管理簇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BO-08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索引任务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为文档版本建立全文／语义索引的运行实例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FR-02 处理状态可见；R-06 新增 IndexingRun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采集与索引簇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BO-09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索引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检索阶段实际使用的索引结果对象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FR-03 检索；BR06 stale 标记；R-06 新增 Index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采集与索引簇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BO-10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权限规则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定义用户对文档、门户条目等资源可执行操作的授权约束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NFR-02、BR01；领域模型 PermissionGrant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规则与治理簇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BO-11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检索请求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用户发起的一次检索、问答或摘要请求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FR-03/04/05；UC05–UC07；领域模型 Query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检索与回答簇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BO-12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文档集合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用户显式选定的一组检索范围对象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NFR-06；R-04 多重度修订；DocumentSet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检索与回答簇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BO-13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证据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支撑检索结果或回答结论的原文证据对象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BR02 证据契约；领域模型 Evidence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检索与回答簇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BO-14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回答结果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系统对提问或摘要请求返回的结构化结果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FR-04、FR-05；UC06、UC07；Answer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检索与回答簇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BO-15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引用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把回答结论绑定到原文证据的定位对象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FR-06；BR03、BR04；UC08；Citation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检索与回答簇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BO-16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笔记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用户基于原文、回答或引用形成的个人记录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FR-07；UC09；BR09；领域模型 Note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检索与回答簇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BO-17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门户条目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知识门户中可展示、可检索、可认领的内容条目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本阶段新增；任务书“协作与数据管理”；上游未覆盖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门户治理簇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BO-18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认领申请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用户对门户条目发起的归属确认申请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本阶段新增；课程关键流程“门户认领审核”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门户治理簇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BO-19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审核任务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平台为认领申请生成的审核处理单元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本阶段新增；支撑认领闭环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门户治理簇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BO-20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审核结论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审核任务输出的通过、驳回或补充材料决定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本阶段新增；认领流程的最终落点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门户治理簇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BO-21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通知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向用户推送处理结果、待办与异常提示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UC12；R-08 新增 Notification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 · 跨流程边界对象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BO-22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审计事件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对导入、认领、审核、外发等动作留下的追踪记录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BR02、BR12 可追溯要求；R-08 新增 AuditEvent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 · 支撑对象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BO-23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模型配置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控制调用哪个模型、是否允许云端能力的业务配置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FR-09；UC11；R-07 新增 ModelConfig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 · 支撑对象</w:t>
            </w:r>
          </w:p>
        </w:tc>
      </w:tr>
      <w:tr>
        <w:trPr>
          <w:cantSplit/>
        </w:trPr>
        <w:tc>
          <w:tcPr>
            <w:tcW w:type="dxa" w:w="822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BO-24</w:t>
            </w:r>
          </w:p>
        </w:tc>
        <w:tc>
          <w:tcPr>
            <w:tcW w:type="dxa" w:w="119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策略</w:t>
            </w:r>
          </w:p>
        </w:tc>
        <w:tc>
          <w:tcPr>
            <w:tcW w:type="dxa" w:w="311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对引用要求、外发确认、审核门槛的统一约束</w:t>
            </w:r>
          </w:p>
        </w:tc>
        <w:tc>
          <w:tcPr>
            <w:tcW w:type="dxa" w:w="2693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BR02、BR12、NFR-08；R-07 新增 Policy</w:t>
            </w:r>
          </w:p>
        </w:tc>
        <w:tc>
          <w:tcPr>
            <w:tcW w:type="dxa" w:w="130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 · 规则与治理簇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注：BO 编号在本报告、类图说明与三张时序图的图注中统一使用；《04-模型一致性检查表 v0.2》§3 的对照总表与此表一一对应。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五个簇不是按“功能模块”分的，而是按它们各自回答的业务问题分的，这样在讲图和写报告时都不会串线：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资源管理簇（6）</w:t>
      </w:r>
      <w:r>
        <w:rPr>
          <w:rFonts w:ascii="Times New Roman" w:hAnsi="Times New Roman" w:eastAsia="宋体"/>
          <w:b w:val="0"/>
          <w:color w:val="1F2937"/>
          <w:sz w:val="21"/>
        </w:rPr>
        <w:t>：用户、工作区、文档空间、文档、文档版本、内容块——回答“资料是怎么被组织起来的”。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采集与索引簇（3）</w:t>
      </w:r>
      <w:r>
        <w:rPr>
          <w:rFonts w:ascii="Times New Roman" w:hAnsi="Times New Roman" w:eastAsia="宋体"/>
          <w:b w:val="0"/>
          <w:color w:val="1F2937"/>
          <w:sz w:val="21"/>
        </w:rPr>
        <w:t>：解析任务、索引任务、索引——回答“资料进来后怎么变成可检索的”。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检索与回答簇（6）</w:t>
      </w:r>
      <w:r>
        <w:rPr>
          <w:rFonts w:ascii="Times New Roman" w:hAnsi="Times New Roman" w:eastAsia="宋体"/>
          <w:b w:val="0"/>
          <w:color w:val="1F2937"/>
          <w:sz w:val="21"/>
        </w:rPr>
        <w:t>：检索请求、文档集合、证据、回答结果、引用、笔记——回答“用户怎么问、系统怎么答、结论怎么留”。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门户治理簇（4）</w:t>
      </w:r>
      <w:r>
        <w:rPr>
          <w:rFonts w:ascii="Times New Roman" w:hAnsi="Times New Roman" w:eastAsia="宋体"/>
          <w:b w:val="0"/>
          <w:color w:val="1F2937"/>
          <w:sz w:val="21"/>
        </w:rPr>
        <w:t>：门户条目、认领申请、审核任务、审核结论——回答“成果怎么被认领和审核”。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规则与治理簇（2）</w:t>
      </w:r>
      <w:r>
        <w:rPr>
          <w:rFonts w:ascii="Times New Roman" w:hAnsi="Times New Roman" w:eastAsia="宋体"/>
          <w:b w:val="0"/>
          <w:color w:val="1F2937"/>
          <w:sz w:val="21"/>
        </w:rPr>
        <w:t>：权限规则、策略——回答“上面这些动作受什么约束”。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2.3　边界判定：四类东西为什么不进清单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三张时序图里还出现了下面四类名字。它们</w:t>
      </w:r>
      <w:r>
        <w:rPr>
          <w:rFonts w:ascii="Times New Roman" w:hAnsi="Times New Roman" w:eastAsia="宋体"/>
          <w:b/>
          <w:color w:val="1F2937"/>
          <w:sz w:val="21"/>
        </w:rPr>
        <w:t>不是</w:t>
      </w:r>
      <w:r>
        <w:rPr>
          <w:rFonts w:ascii="Times New Roman" w:hAnsi="Times New Roman" w:eastAsia="宋体"/>
          <w:b w:val="0"/>
          <w:color w:val="1F2937"/>
          <w:sz w:val="21"/>
        </w:rPr>
        <w:t>业务对象，因此既不进表 1，也不进核心业务类图：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3　非业务对象的四类处理约定</w:t>
      </w:r>
    </w:p>
    <w:tbl>
      <w:tblPr>
        <w:tblW w:type="dxa" w:w="9127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1020"/>
        <w:gridCol w:w="3572"/>
        <w:gridCol w:w="1077"/>
        <w:gridCol w:w="3458"/>
      </w:tblGrid>
      <w:tr>
        <w:trPr>
          <w:tblHeader/>
          <w:cantSplit/>
        </w:trPr>
        <w:tc>
          <w:tcPr>
            <w:tcW w:type="dxa" w:w="1020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类型</w:t>
            </w:r>
          </w:p>
        </w:tc>
        <w:tc>
          <w:tcPr>
            <w:tcW w:type="dxa" w:w="3572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具体对象（别名）</w:t>
            </w:r>
          </w:p>
        </w:tc>
        <w:tc>
          <w:tcPr>
            <w:tcW w:type="dxa" w:w="1077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出现在</w:t>
            </w:r>
          </w:p>
        </w:tc>
        <w:tc>
          <w:tcPr>
            <w:tcW w:type="dxa" w:w="345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判定理由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边界对象</w:t>
            </w:r>
          </w:p>
        </w:tc>
        <w:tc>
          <w:tcPr>
            <w:tcW w:type="dxa" w:w="357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客户端（ClientUI）、门户界面（PortalUI）、审核界面（ReviewUI）、检索界面（SearchUI）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2 / 3 / 4</w:t>
            </w:r>
          </w:p>
        </w:tc>
        <w:tc>
          <w:tcPr>
            <w:tcW w:type="dxa" w:w="345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交互制品，随界面改版而变，不是业务要长期管理的实体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控制对象</w:t>
            </w:r>
          </w:p>
        </w:tc>
        <w:tc>
          <w:tcPr>
            <w:tcW w:type="dxa" w:w="357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导入控制器（IC）、认领控制器（CC）、审核控制器（RC）、检索控制器（SC）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2 / 3 / 4</w:t>
            </w:r>
          </w:p>
        </w:tc>
        <w:tc>
          <w:tcPr>
            <w:tcW w:type="dxa" w:w="345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承接界面动作的分析期制品，其职责划分属设计阶段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外部系统</w:t>
            </w:r>
          </w:p>
        </w:tc>
        <w:tc>
          <w:tcPr>
            <w:tcW w:type="dxa" w:w="357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授权模型服务（MS）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4</w:t>
            </w:r>
          </w:p>
        </w:tc>
        <w:tc>
          <w:tcPr>
            <w:tcW w:type="dxa" w:w="345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在系统边界之外，是参与者而非本系统业务对象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角色细分</w:t>
            </w:r>
          </w:p>
        </w:tc>
        <w:tc>
          <w:tcPr>
            <w:tcW w:type="dxa" w:w="357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作者、审核人（Reviewer）、管理员</w:t>
            </w:r>
          </w:p>
        </w:tc>
        <w:tc>
          <w:tcPr>
            <w:tcW w:type="dxa" w:w="107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3</w:t>
            </w:r>
          </w:p>
        </w:tc>
        <w:tc>
          <w:tcPr>
            <w:tcW w:type="dxa" w:w="345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均为 BO-01 用户的角色细分，不另立对象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注：该四条约定与《04-模型一致性检查表 v0.2》§4 完全一致；被追问“类图里为什么没有控制器/界面”时按此口径回答。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这里有一条容易被忽略的判断：</w:t>
      </w:r>
      <w:r>
        <w:rPr>
          <w:rFonts w:ascii="Times New Roman" w:hAnsi="Times New Roman" w:eastAsia="宋体"/>
          <w:b/>
          <w:color w:val="1F2937"/>
          <w:sz w:val="21"/>
        </w:rPr>
        <w:t>任务类对象算不算业务对象</w:t>
      </w:r>
      <w:r>
        <w:rPr>
          <w:rFonts w:ascii="Times New Roman" w:hAnsi="Times New Roman" w:eastAsia="宋体"/>
          <w:b w:val="0"/>
          <w:color w:val="1F2937"/>
          <w:sz w:val="21"/>
        </w:rPr>
        <w:t>？解析任务、索引任务、审核任务都是“跑一次就结束”的运行实例，看起来像实现细节。但业务上正是靠它们的状态判定“这次入库到底成没成”“这次认领走到哪一步”，也就是说业务要追踪它们，它们就属于业务对象——这是本轮与上游模型对齐时专门澄清的一点（见 §5.2 第 1 条）。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2.4　与上游的对应关系：哪些有依据、哪些是本阶段新增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24 个对象里，20 个能在需求建模 V0.3 中找到直接依据（UC、FR、BR、NFR 或领域模型类），4 个属于本阶段新增。把这个分布讲清楚，比笼统说“都来自需求”更经得起核对：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有直接依据且进类图（17）</w:t>
      </w:r>
      <w:r>
        <w:rPr>
          <w:rFonts w:ascii="Times New Roman" w:hAnsi="Times New Roman" w:eastAsia="宋体"/>
          <w:b w:val="0"/>
          <w:color w:val="1F2937"/>
          <w:sz w:val="21"/>
        </w:rPr>
        <w:t>：资源管理、采集与索引、检索与回答、规则与治理四个簇共 17 个对象，全部能对回上游——前三簇对应 UC01–UC10、FR-01–FR-07 与领域模型的常用类；权限规则对应 PermissionGrant，策略对应需求建模 R-07 新增的 Policy；索引任务、索引两个类则是 R-06 修订时新增的索引级对象。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有依据但不进类图（3）</w:t>
      </w:r>
      <w:r>
        <w:rPr>
          <w:rFonts w:ascii="Times New Roman" w:hAnsi="Times New Roman" w:eastAsia="宋体"/>
          <w:b w:val="0"/>
          <w:color w:val="1F2937"/>
          <w:sz w:val="21"/>
        </w:rPr>
        <w:t>：通知（UC12 / R-08）、审计事件（BR02、BR12 的可追溯要求 / R-08）、模型配置（FR-09、UC11 / R-07）均有上游依据，但按“支撑对象”处理。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本阶段新增（4）</w:t>
      </w:r>
      <w:r>
        <w:rPr>
          <w:rFonts w:ascii="Times New Roman" w:hAnsi="Times New Roman" w:eastAsia="宋体"/>
          <w:b w:val="0"/>
          <w:color w:val="1F2937"/>
          <w:sz w:val="21"/>
        </w:rPr>
        <w:t>：门户条目、认领申请、审核任务、审核结论。需求建模 V0.3 的领域模型中没有门户治理相关类，本阶段为覆盖课程要求的关键流程“门户认领审核”而新增识别。</w:t>
      </w:r>
      <w:r>
        <w:rPr>
          <w:rFonts w:ascii="Times New Roman" w:hAnsi="Times New Roman" w:eastAsia="宋体"/>
          <w:b/>
          <w:color w:val="1F2937"/>
          <w:sz w:val="21"/>
        </w:rPr>
        <w:t>这 4 个对象的上游用例与追踪链尚未建立，已列入 §7.2 遗留项</w:t>
      </w:r>
      <w:r>
        <w:rPr>
          <w:rFonts w:ascii="Times New Roman" w:hAnsi="Times New Roman" w:eastAsia="宋体"/>
          <w:b w:val="0"/>
          <w:color w:val="1F2937"/>
          <w:sz w:val="21"/>
        </w:rPr>
        <w:t>，不以“已有需求”包装。</w:t>
        <w:br w:type="page"/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3　核心业务类图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3.1　图的组织方式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 xml:space="preserve">核心业务类图（图 1，v0.2 定稿）共 </w:t>
      </w:r>
      <w:r>
        <w:rPr>
          <w:rFonts w:ascii="Times New Roman" w:hAnsi="Times New Roman" w:eastAsia="宋体"/>
          <w:b/>
          <w:color w:val="1F2937"/>
          <w:sz w:val="21"/>
        </w:rPr>
        <w:t>21 个业务类</w:t>
      </w:r>
      <w:r>
        <w:rPr>
          <w:rFonts w:ascii="Times New Roman" w:hAnsi="Times New Roman" w:eastAsia="宋体"/>
          <w:b w:val="0"/>
          <w:color w:val="1F2937"/>
          <w:sz w:val="21"/>
        </w:rPr>
        <w:t>，按五个包（簇）组织，与表 1 的簇划分完全一致：资源管理簇 6 个、采集与索引簇 3 个、检索与回答簇 6 个、门户治理簇 4 个、规则与治理簇 2 个。类内只保留能支撑业务语义的主属性（如文档的敏感级别与授权状态、索引的建立状态与是否失效），不写方法实现、不写技术字段。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之所以把“簇”画成 UML 的 package，而不是拆成三张分散的图，是为了让三条流程的对象能在</w:t>
      </w:r>
      <w:r>
        <w:rPr>
          <w:rFonts w:ascii="Times New Roman" w:hAnsi="Times New Roman" w:eastAsia="宋体"/>
          <w:b/>
          <w:color w:val="1F2937"/>
          <w:sz w:val="21"/>
        </w:rPr>
        <w:t>同一张图</w:t>
      </w:r>
      <w:r>
        <w:rPr>
          <w:rFonts w:ascii="Times New Roman" w:hAnsi="Times New Roman" w:eastAsia="宋体"/>
          <w:b w:val="0"/>
          <w:color w:val="1F2937"/>
          <w:sz w:val="21"/>
        </w:rPr>
        <w:t>上被找到——答辩时只要顺着包边界走，就能把一条流程涉及的类一次圈出来。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3.2　五条关系主线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全图有大量连线，但只需要讲五条主线，其余都是主线上的分支：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① 资源管理主线</w:t>
      </w:r>
      <w:r>
        <w:rPr>
          <w:rFonts w:ascii="Times New Roman" w:hAnsi="Times New Roman" w:eastAsia="宋体"/>
          <w:b w:val="0"/>
          <w:color w:val="1F2937"/>
          <w:sz w:val="21"/>
        </w:rPr>
        <w:t>：用户 — 工作区 — 文档空间 — 文档 — 文档版本 — 内容块。工作区下挂文档空间，文档空间收纳文档，文档通过“版本”沉淀内容，版本再切成“内容块”。其中</w:t>
      </w:r>
      <w:r>
        <w:rPr>
          <w:rFonts w:ascii="Times New Roman" w:hAnsi="Times New Roman" w:eastAsia="宋体"/>
          <w:b/>
          <w:color w:val="1F2937"/>
          <w:sz w:val="21"/>
        </w:rPr>
        <w:t>文档与文档版本是组合</w:t>
      </w:r>
      <w:r>
        <w:rPr>
          <w:rFonts w:ascii="Times New Roman" w:hAnsi="Times New Roman" w:eastAsia="宋体"/>
          <w:b w:val="0"/>
          <w:color w:val="1F2937"/>
          <w:sz w:val="21"/>
        </w:rPr>
        <w:t>（1 对 1..*），版本离开文档没有独立存在的意义，这也决定了文档被删除或撤权时，版本与其索引要一并处理。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② 采集与索引主线</w:t>
      </w:r>
      <w:r>
        <w:rPr>
          <w:rFonts w:ascii="Times New Roman" w:hAnsi="Times New Roman" w:eastAsia="宋体"/>
          <w:b w:val="0"/>
          <w:color w:val="1F2937"/>
          <w:sz w:val="21"/>
        </w:rPr>
        <w:t>：文档版本 — 解析任务 / 索引任务 — 索引。一份新的文档版本进来，会触发解析任务与索引任务，最终产出索引。这条线是 v0.2 特意补进类图的：它在图 2 里是主角，若类图里没有，就会出现“时序图有、类图没有”的裂缝。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③ 检索与回答主线</w:t>
      </w:r>
      <w:r>
        <w:rPr>
          <w:rFonts w:ascii="Times New Roman" w:hAnsi="Times New Roman" w:eastAsia="宋体"/>
          <w:b w:val="0"/>
          <w:color w:val="1F2937"/>
          <w:sz w:val="21"/>
        </w:rPr>
        <w:t>：用户 — 检索请求 — 文档集合 / 证据 — 回答结果 — 引用 — 笔记。检索请求决定查什么范围（文档集合），系统挑出证据、生成回答，回答通过引用绑回证据，用户可以把它沉淀成笔记。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④ 门户治理主线</w:t>
      </w:r>
      <w:r>
        <w:rPr>
          <w:rFonts w:ascii="Times New Roman" w:hAnsi="Times New Roman" w:eastAsia="宋体"/>
          <w:b w:val="0"/>
          <w:color w:val="1F2937"/>
          <w:sz w:val="21"/>
        </w:rPr>
        <w:t>：门户条目 — 认领申请 — 审核任务 — 审核结论。条目可被申请认领，认领生成审核任务，审核任务输出结论，结论再回写条目的归属状态。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⑤ 规则与治理</w:t>
      </w:r>
      <w:r>
        <w:rPr>
          <w:rFonts w:ascii="Times New Roman" w:hAnsi="Times New Roman" w:eastAsia="宋体"/>
          <w:b w:val="0"/>
          <w:color w:val="1F2937"/>
          <w:sz w:val="21"/>
        </w:rPr>
        <w:t>：权限规则与策略以依赖（..&gt;）方式约束上面几条线——权限规则约束“谁能看、谁能操作”，策略约束“引用要求、外发门槛、审核门槛”。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3.3　三个值得单独讲的设计判断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如果只讲连线，这张图看起来和任何一张实体关系图没有区别。真正需要解释的是三处“不这样设计会出问题”的判断：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① 引用（Citation）是独立的类，不是回答上的一个字段</w:t>
      </w:r>
      <w:r>
        <w:rPr>
          <w:rFonts w:ascii="Times New Roman" w:hAnsi="Times New Roman" w:eastAsia="宋体"/>
          <w:b w:val="0"/>
          <w:color w:val="1F2937"/>
          <w:sz w:val="21"/>
        </w:rPr>
        <w:t>：引用要能独立定位到原文的某个内容块、独立失效、独立复核；做成回答结果上的一个字符串字段，承载不了“这条结论来自哪一版的哪一段、这段现在还在一不在一”。这是 AI 回答可信的基础。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② 文档与文档版本是组合，不是普通关联</w:t>
      </w:r>
      <w:r>
        <w:rPr>
          <w:rFonts w:ascii="Times New Roman" w:hAnsi="Times New Roman" w:eastAsia="宋体"/>
          <w:b w:val="0"/>
          <w:color w:val="1F2937"/>
          <w:sz w:val="21"/>
        </w:rPr>
        <w:t>：同一份文档可能被重新导入或被外部更新，版本层承载来源哈希与导入时间，使引用能定位到“哪一版的哪一段”，也让失效可以沿版本传播（BR06）。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③ 索引（Index）独立成类，不挂在文档上</w:t>
      </w:r>
      <w:r>
        <w:rPr>
          <w:rFonts w:ascii="Times New Roman" w:hAnsi="Times New Roman" w:eastAsia="宋体"/>
          <w:b w:val="0"/>
          <w:color w:val="1F2937"/>
          <w:sz w:val="21"/>
        </w:rPr>
        <w:t>：检索能力不是文档的属性，而是一个可以独立建立、独立失败、独立降级的对象。正因为索引是独立对象，索引失败时才能“允许阅读、限制检索”，而不是整份文档报废。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3.4　刻意不入图的三个对象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类图里没有通知、审计事件、模型配置。这不是遗漏，是按图面可读性做的取舍，三者各有理由：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通知</w:t>
      </w:r>
      <w:r>
        <w:rPr>
          <w:rFonts w:ascii="Times New Roman" w:hAnsi="Times New Roman" w:eastAsia="宋体"/>
          <w:b w:val="0"/>
          <w:color w:val="1F2937"/>
          <w:sz w:val="21"/>
        </w:rPr>
        <w:t>：三条流程都会用到它（入库完成、认领结果、降级提示），但它是跨流程的边界对象，不是业务要长期管理的实体，因此在三张时序图里作为消息接收方出现，不入静态结构。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审计事件</w:t>
      </w:r>
      <w:r>
        <w:rPr>
          <w:rFonts w:ascii="Times New Roman" w:hAnsi="Times New Roman" w:eastAsia="宋体"/>
          <w:b w:val="0"/>
          <w:color w:val="1F2937"/>
          <w:sz w:val="21"/>
        </w:rPr>
        <w:t>：本轮只在文档中说明其语义（BR02、BR12 的“本次明确确认”须可追溯），不建模；若后续需要强调可追溯性，可作为扩展视图补充。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模型配置</w:t>
      </w:r>
      <w:r>
        <w:rPr>
          <w:rFonts w:ascii="Times New Roman" w:hAnsi="Times New Roman" w:eastAsia="宋体"/>
          <w:b w:val="0"/>
          <w:color w:val="1F2937"/>
          <w:sz w:val="21"/>
        </w:rPr>
        <w:t>：属配置类对象，与“授权模型服务（MS）”这个外部系统不是一回事：前者是配置，后者是外部参与者。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把“没画什么”和“为什么没画”讲清楚，比多画十个类更能说明建模是做过判断的。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3.5　图 1　核心业务类图（v0.2 定稿）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读图时建议按“包边界”看：先看左边资源管理簇，再看中间采集与索引簇，最后看右边检索与回答、门户治理两簇；规则与治理簇的连线是依赖（虚线），其余为关联／聚合／组合。</w:t>
        <w:br w:type="page"/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644000" cy="79746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核心业务类图-v0.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4000" cy="7974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图 1　核心业务类图（v0.2 定稿，21 个业务类 · 五个簇）</w:t>
      </w:r>
    </w:p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6"/>
        </w:rPr>
        <w:t>源文件：工作区/需求分析/分析图/核心业务类图-v0.2.puml（PlantUML 底稿，导出件同名 .png）。</w:t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4　关键流程时序图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4.1　三张图共用的画法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三张时序图（图 2、图 3、图 4）由三位组员分别产出，为了保证放在一起能讲、能对，事先统一了四条画法：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结构统一</w:t>
      </w:r>
      <w:r>
        <w:rPr>
          <w:rFonts w:ascii="Times New Roman" w:hAnsi="Times New Roman" w:eastAsia="宋体"/>
          <w:b w:val="0"/>
          <w:color w:val="1F2937"/>
          <w:sz w:val="21"/>
        </w:rPr>
        <w:t>：每张图都按“</w:t>
      </w:r>
      <w:r>
        <w:rPr>
          <w:rFonts w:ascii="Times New Roman" w:hAnsi="Times New Roman" w:eastAsia="宋体"/>
          <w:b/>
          <w:color w:val="1F2937"/>
          <w:sz w:val="21"/>
        </w:rPr>
        <w:t>触发 → 主消息链 → 结束标志</w:t>
      </w:r>
      <w:r>
        <w:rPr>
          <w:rFonts w:ascii="Times New Roman" w:hAnsi="Times New Roman" w:eastAsia="宋体"/>
          <w:b w:val="0"/>
          <w:color w:val="1F2937"/>
          <w:sz w:val="21"/>
        </w:rPr>
        <w:t>”三段式组织，图例固定四段（主线说明、结束标志、关键异常、边界说明）。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分支克制</w:t>
      </w:r>
      <w:r>
        <w:rPr>
          <w:rFonts w:ascii="Times New Roman" w:hAnsi="Times New Roman" w:eastAsia="宋体"/>
          <w:b w:val="0"/>
          <w:color w:val="1F2937"/>
          <w:sz w:val="21"/>
        </w:rPr>
        <w:t>：只保留会改变业务结论的分支（拒绝导入、转待复核、检索降级、认领驳回等）；重试、告警、错误码属设计阶段。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对象分层</w:t>
      </w:r>
      <w:r>
        <w:rPr>
          <w:rFonts w:ascii="Times New Roman" w:hAnsi="Times New Roman" w:eastAsia="宋体"/>
          <w:b w:val="0"/>
          <w:color w:val="1F2937"/>
          <w:sz w:val="21"/>
        </w:rPr>
        <w:t>：界面与控制器作为边界/控制对象出现在时序图上，但不进业务对象清单与类图（§2.3）。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编号可追溯</w:t>
      </w:r>
      <w:r>
        <w:rPr>
          <w:rFonts w:ascii="Times New Roman" w:hAnsi="Times New Roman" w:eastAsia="宋体"/>
          <w:b w:val="0"/>
          <w:color w:val="1F2937"/>
          <w:sz w:val="21"/>
        </w:rPr>
        <w:t>：消息编号由 PlantUML 的 autonumber 自动生成，与各自的流程脚本里的 M 编号一一对应，便于图—文—注三向追溯。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4.2　图 2　时序图 · 数据采集入库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/>
          <w:color w:val="1F2937"/>
          <w:sz w:val="21"/>
        </w:rPr>
        <w:t>触发</w:t>
      </w:r>
      <w:r>
        <w:rPr>
          <w:rFonts w:ascii="Times New Roman" w:hAnsi="Times New Roman" w:eastAsia="宋体"/>
          <w:b w:val="0"/>
          <w:color w:val="1F2937"/>
          <w:sz w:val="21"/>
        </w:rPr>
        <w:t>：用户在客户端选定工作区与文档空间，提交待导入文件。</w:t>
      </w:r>
      <w:r>
        <w:rPr>
          <w:rFonts w:ascii="Times New Roman" w:hAnsi="Times New Roman" w:eastAsia="宋体"/>
          <w:b/>
          <w:color w:val="1F2937"/>
          <w:sz w:val="21"/>
        </w:rPr>
        <w:t>主消息链</w:t>
      </w:r>
      <w:r>
        <w:rPr>
          <w:rFonts w:ascii="Times New Roman" w:hAnsi="Times New Roman" w:eastAsia="宋体"/>
          <w:b w:val="0"/>
          <w:color w:val="1F2937"/>
          <w:sz w:val="21"/>
        </w:rPr>
        <w:t>：导入控制器校验格式/大小/去重/权限 → 在文档空间登记文档 → 生成文档版本并固化来源哈希与导入时间 → 启动解析任务、抽取文本与结构并切分内容块 → 启动索引任务、建立全文/语义索引 → 索引置为可用、版本置为已索引、文档置为可管理并通知用户。</w:t>
      </w:r>
      <w:r>
        <w:rPr>
          <w:rFonts w:ascii="Times New Roman" w:hAnsi="Times New Roman" w:eastAsia="宋体"/>
          <w:b/>
          <w:color w:val="1F2937"/>
          <w:sz w:val="21"/>
        </w:rPr>
        <w:t>结束标志</w:t>
      </w:r>
      <w:r>
        <w:rPr>
          <w:rFonts w:ascii="Times New Roman" w:hAnsi="Times New Roman" w:eastAsia="宋体"/>
          <w:b w:val="0"/>
          <w:color w:val="1F2937"/>
          <w:sz w:val="21"/>
        </w:rPr>
        <w:t>：索引对象进入“可用”状态的那一刻，而不是文件上传成功的那一刻。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这张图的亮点句是“</w:t>
      </w:r>
      <w:r>
        <w:rPr>
          <w:rFonts w:ascii="Times New Roman" w:hAnsi="Times New Roman" w:eastAsia="宋体"/>
          <w:b/>
          <w:color w:val="1F2937"/>
          <w:sz w:val="21"/>
        </w:rPr>
        <w:t>导入成功 ≠ 入库完成</w:t>
      </w:r>
      <w:r>
        <w:rPr>
          <w:rFonts w:ascii="Times New Roman" w:hAnsi="Times New Roman" w:eastAsia="宋体"/>
          <w:b w:val="0"/>
          <w:color w:val="1F2937"/>
          <w:sz w:val="21"/>
        </w:rPr>
        <w:t>”。文件上传成功只是开始，必须等解析和索引都完成、索引对象进入“可用”，这份资料才真正“进得来、搜得到、引得回”。图中保留三条异常：导入条件不满足（拒绝导入）、解析失败（已登记但不可检索，转待复核）、索引失败（可阅读但暂不可检索，索引记为已建立但不可用）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两个必须讲清的设计判断：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为什么要有“文档版本”这一层</w:t>
      </w:r>
      <w:r>
        <w:rPr>
          <w:rFonts w:ascii="Times New Roman" w:hAnsi="Times New Roman" w:eastAsia="宋体"/>
          <w:b w:val="0"/>
          <w:color w:val="1F2937"/>
          <w:sz w:val="21"/>
        </w:rPr>
        <w:t>：同一份文档可能被重新导入或被外部更新，版本层承载来源哈希与导入时间，使后续引用能定位到“哪一版的哪一段”，也让失效可以沿版本传播。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为什么“索引”要单独作为一个对象</w:t>
      </w:r>
      <w:r>
        <w:rPr>
          <w:rFonts w:ascii="Times New Roman" w:hAnsi="Times New Roman" w:eastAsia="宋体"/>
          <w:b w:val="0"/>
          <w:color w:val="1F2937"/>
          <w:sz w:val="21"/>
        </w:rPr>
        <w:t>：检索能力不是文档的属性，而是一个可以独立建立、独立失败、独立降级的对象；正因为独立，索引失败时才能“允许阅读、限制检索”，而不是整份文档报废。</w:t>
        <w:br w:type="page"/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400000" cy="80205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-数据采集入库-v0.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80205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图 2　时序图 · 数据采集入库（v0.2 定稿，M01–M28）</w:t>
      </w:r>
    </w:p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6"/>
        </w:rPr>
        <w:t>源文件：分析图/时序图-数据采集入库-v0.2.puml；图注说明见 分析图/图注说明-时序图-数据采集入库.md。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4.3　图 3　时序图 · 门户认领审核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/>
          <w:color w:val="1F2937"/>
          <w:sz w:val="21"/>
        </w:rPr>
        <w:t>触发</w:t>
      </w:r>
      <w:r>
        <w:rPr>
          <w:rFonts w:ascii="Times New Roman" w:hAnsi="Times New Roman" w:eastAsia="宋体"/>
          <w:b w:val="0"/>
          <w:color w:val="1F2937"/>
          <w:sz w:val="21"/>
        </w:rPr>
        <w:t>：真实作者或责任人在知识门户看到某个可展示条目后，在门户界面发起“认领条目”操作，并附带身份说明或证明材料。</w:t>
      </w:r>
      <w:r>
        <w:rPr>
          <w:rFonts w:ascii="Times New Roman" w:hAnsi="Times New Roman" w:eastAsia="宋体"/>
          <w:b/>
          <w:color w:val="1F2937"/>
          <w:sz w:val="21"/>
        </w:rPr>
        <w:t>主消息链</w:t>
      </w:r>
      <w:r>
        <w:rPr>
          <w:rFonts w:ascii="Times New Roman" w:hAnsi="Times New Roman" w:eastAsia="宋体"/>
          <w:b w:val="0"/>
          <w:color w:val="1F2937"/>
          <w:sz w:val="21"/>
        </w:rPr>
        <w:t>：门户界面提交认领申请 → 认领控制器校验条目可认领性与用户资格 → 创建认领申请 → 生成审核任务并通知审核人 → 审核控制器读取申请详情与条目上下文 → 审核人提交结论 → 回写条目归属状态并通知申请人。</w:t>
      </w:r>
      <w:r>
        <w:rPr>
          <w:rFonts w:ascii="Times New Roman" w:hAnsi="Times New Roman" w:eastAsia="宋体"/>
          <w:b/>
          <w:color w:val="1F2937"/>
          <w:sz w:val="21"/>
        </w:rPr>
        <w:t>结束标志</w:t>
      </w:r>
      <w:r>
        <w:rPr>
          <w:rFonts w:ascii="Times New Roman" w:hAnsi="Times New Roman" w:eastAsia="宋体"/>
          <w:b w:val="0"/>
          <w:color w:val="1F2937"/>
          <w:sz w:val="21"/>
        </w:rPr>
        <w:t>：审核结论生成并回写后，认领申请进入“通过 / 驳回 / 待补充”之一；只有审核通过并更新门户条目的作者归属，流程才算真正闭环。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这张图的关键是四条路径共享同一套对象与状态口径：条目不可认领（直接拒绝）、审核任务超时（提醒复审或升级管理员）、证明材料不足（生成“待补充”结论，原申请不关闭，补料后复审）、审核驳回（归属维持原状）。同时守住一条业务约束：同一门户条目同一时刻至多一个生效中的审核结论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归属回写必须可追溯</w:t>
      </w:r>
      <w:r>
        <w:rPr>
          <w:rFonts w:ascii="Times New Roman" w:hAnsi="Times New Roman" w:eastAsia="宋体"/>
          <w:b w:val="0"/>
          <w:color w:val="1F2937"/>
          <w:sz w:val="21"/>
        </w:rPr>
        <w:t>：审核通过后，门户条目的归属信息要能指回对应的认领申请，否则“认领”就变成一次不可解释的改字段。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待补充不是关闭</w:t>
      </w:r>
      <w:r>
        <w:rPr>
          <w:rFonts w:ascii="Times New Roman" w:hAnsi="Times New Roman" w:eastAsia="宋体"/>
          <w:b w:val="0"/>
          <w:color w:val="1F2937"/>
          <w:sz w:val="21"/>
        </w:rPr>
        <w:t>：要求补充材料时原申请保留，进入“待补充”后再复审，避免申请人被迫重新发起。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管理员只以消息出现</w:t>
      </w:r>
      <w:r>
        <w:rPr>
          <w:rFonts w:ascii="Times New Roman" w:hAnsi="Times New Roman" w:eastAsia="宋体"/>
          <w:b w:val="0"/>
          <w:color w:val="1F2937"/>
          <w:sz w:val="21"/>
        </w:rPr>
        <w:t>：超时分支中的“升级给管理员”按角色细分处理，不单列生命线，保持与流程脚本 §3.2 的参与者清单一致。</w:t>
        <w:br w:type="page"/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16000" cy="68397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-门户认领审核-v0.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6839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图 3　时序图 · 门户认领审核（v0.2 定稿）</w:t>
      </w:r>
    </w:p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6"/>
        </w:rPr>
        <w:t>源文件：分析图/时序图-门户认领审核-v0.2.puml；图注说明见 分析图/图注说明-时序图-门户认领审核.md。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4.4　图 4　时序图 · 检索请求处理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/>
          <w:color w:val="1F2937"/>
          <w:sz w:val="21"/>
        </w:rPr>
        <w:t>触发</w:t>
      </w:r>
      <w:r>
        <w:rPr>
          <w:rFonts w:ascii="Times New Roman" w:hAnsi="Times New Roman" w:eastAsia="宋体"/>
          <w:b w:val="0"/>
          <w:color w:val="1F2937"/>
          <w:sz w:val="21"/>
        </w:rPr>
        <w:t>：用户在检索界面输入检索词或问题，并显式选择检索范围（当前文档或多文档集合）。</w:t>
      </w:r>
      <w:r>
        <w:rPr>
          <w:rFonts w:ascii="Times New Roman" w:hAnsi="Times New Roman" w:eastAsia="宋体"/>
          <w:b/>
          <w:color w:val="1F2937"/>
          <w:sz w:val="21"/>
        </w:rPr>
        <w:t>主消息链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：提交检索请求 → 读取身份、工作区与范围 → </w:t>
      </w:r>
      <w:r>
        <w:rPr>
          <w:rFonts w:ascii="Times New Roman" w:hAnsi="Times New Roman" w:eastAsia="宋体"/>
          <w:b/>
          <w:color w:val="1F2937"/>
          <w:sz w:val="21"/>
        </w:rPr>
        <w:t>先做权限过滤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 → 基于索引检索候选内容块 → 组装证据范围 → 普通检索直接返回排序结果与定位；问答/摘要则在证据范围内生成回答并绑定引用 → 展示结果与原文入口。</w:t>
      </w:r>
      <w:r>
        <w:rPr>
          <w:rFonts w:ascii="Times New Roman" w:hAnsi="Times New Roman" w:eastAsia="宋体"/>
          <w:b/>
          <w:color w:val="1F2937"/>
          <w:sz w:val="21"/>
        </w:rPr>
        <w:t>结束标志</w:t>
      </w:r>
      <w:r>
        <w:rPr>
          <w:rFonts w:ascii="Times New Roman" w:hAnsi="Times New Roman" w:eastAsia="宋体"/>
          <w:b w:val="0"/>
          <w:color w:val="1F2937"/>
          <w:sz w:val="21"/>
        </w:rPr>
        <w:t>：回答结果与引用返回且引用核验通过；若引用无效或证据不足，则标记待复核并降级为本地结果，不得显示为已核验答案。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这张图的亮点句是“</w:t>
      </w:r>
      <w:r>
        <w:rPr>
          <w:rFonts w:ascii="Times New Roman" w:hAnsi="Times New Roman" w:eastAsia="宋体"/>
          <w:b/>
          <w:color w:val="1F2937"/>
          <w:sz w:val="21"/>
        </w:rPr>
        <w:t>每一句结论都能沿引用回到原文证据</w:t>
      </w:r>
      <w:r>
        <w:rPr>
          <w:rFonts w:ascii="Times New Roman" w:hAnsi="Times New Roman" w:eastAsia="宋体"/>
          <w:b w:val="0"/>
          <w:color w:val="1F2937"/>
          <w:sz w:val="21"/>
        </w:rPr>
        <w:t>”。图上保留的降级路径最多，因为它们都会改变业务结论：范围为空（不检索未授权内容）、来源失效（不生成确定结论）、证据不合格（本地证据或待复核）、用户拒绝外发或策略禁云（只给本地证据）、模型失败（降级为检索结果）、引用无效（禁止显示为已核验答案）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单文档不需要“文档集合”</w:t>
      </w:r>
      <w:r>
        <w:rPr>
          <w:rFonts w:ascii="Times New Roman" w:hAnsi="Times New Roman" w:eastAsia="宋体"/>
          <w:b w:val="0"/>
          <w:color w:val="1F2937"/>
          <w:sz w:val="21"/>
        </w:rPr>
        <w:t>：当前文档可直接作为检索范围，只有多文档检索才构造文档集合——这也解释了类图里“检索请求 0..* → 0..1 文档集合”的多重度（需求建模 R-04）。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逐文件确认只对本次请求有效</w:t>
      </w:r>
      <w:r>
        <w:rPr>
          <w:rFonts w:ascii="Times New Roman" w:hAnsi="Times New Roman" w:eastAsia="宋体"/>
          <w:b w:val="0"/>
          <w:color w:val="1F2937"/>
          <w:sz w:val="21"/>
        </w:rPr>
        <w:t>：外发前展示拟外发文件、版本、服务与用途，用户的选择不跨请求复用。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引用必须在本次 allow-list 内</w:t>
      </w:r>
      <w:r>
        <w:rPr>
          <w:rFonts w:ascii="Times New Roman" w:hAnsi="Times New Roman" w:eastAsia="宋体"/>
          <w:b w:val="0"/>
          <w:color w:val="1F2937"/>
          <w:sz w:val="21"/>
        </w:rPr>
        <w:t>：引用要经“证据 id、原文片段、定位符”三方校验，校验不过就不能作为已核验答案展示。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授权模型服务是外部参与者</w:t>
      </w:r>
      <w:r>
        <w:rPr>
          <w:rFonts w:ascii="Times New Roman" w:hAnsi="Times New Roman" w:eastAsia="宋体"/>
          <w:b w:val="0"/>
          <w:color w:val="1F2937"/>
          <w:sz w:val="21"/>
        </w:rPr>
        <w:t>：它在系统边界之外，不是本系统业务对象，因此不进表 1 与图 1。</w:t>
        <w:br w:type="page"/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08000" cy="79881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时序图-检索请求处理-v0.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8000" cy="798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图 4　时序图 · 检索请求处理（v0.2 定稿）</w:t>
      </w:r>
    </w:p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6"/>
        </w:rPr>
        <w:t>源文件：分析图/时序图-检索请求处理-v0.2.puml；图注说明见 分析图/图注说明-时序图-检索请求处理.md。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4.5　三张图放在一起看的三条共同约束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结果必须告知</w:t>
      </w:r>
      <w:r>
        <w:rPr>
          <w:rFonts w:ascii="Times New Roman" w:hAnsi="Times New Roman" w:eastAsia="宋体"/>
          <w:b w:val="0"/>
          <w:color w:val="1F2937"/>
          <w:sz w:val="21"/>
        </w:rPr>
        <w:t>：三条流程都以“通知用户”收尾，通知因此成为跨流程复用最频繁的边界对象，也是它不进类图却天天出现在图上的原因。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校验先于动作</w:t>
      </w:r>
      <w:r>
        <w:rPr>
          <w:rFonts w:ascii="Times New Roman" w:hAnsi="Times New Roman" w:eastAsia="宋体"/>
          <w:b w:val="0"/>
          <w:color w:val="1F2937"/>
          <w:sz w:val="21"/>
        </w:rPr>
        <w:t>：图 2 的导入校验、图 3 的认领资格校验、图 4 的检索前置过滤，都不是可选的优化项，而是流程能否成立的前提。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可追溯是共同底线</w:t>
      </w:r>
      <w:r>
        <w:rPr>
          <w:rFonts w:ascii="Times New Roman" w:hAnsi="Times New Roman" w:eastAsia="宋体"/>
          <w:b w:val="0"/>
          <w:color w:val="1F2937"/>
          <w:sz w:val="21"/>
        </w:rPr>
        <w:t>：入库要能回答“哪一版、哪一段”，检索要能回答“依据是什么”，认领要能回答“归属凭什么变更”。三张图各有一条追溯链，这正是 §3.3 中“引用独立成类”“版本层不可省”的判断在流程侧的体现。</w:t>
        <w:br w:type="page"/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5　模型一致性检查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5.1　方法：以对象清单为母版做三向核对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多人并行最大的风险不是“没人干活”，而是“各干各的，最后合不起来”：同一对象三个人起三个名字、时序图里的参与者类图里没有、报告术语和图面术语对不上。为此我们固定了一套检查方法：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母版唯一</w:t>
      </w:r>
      <w:r>
        <w:rPr>
          <w:rFonts w:ascii="Times New Roman" w:hAnsi="Times New Roman" w:eastAsia="宋体"/>
          <w:b w:val="0"/>
          <w:color w:val="1F2937"/>
          <w:sz w:val="21"/>
        </w:rPr>
        <w:t>：以《01-业务对象清单》为唯一母版，对象名、BO 编号只从这里取；图里要出现新名字，先回填清单。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三向 + 反向</w:t>
      </w:r>
      <w:r>
        <w:rPr>
          <w:rFonts w:ascii="Times New Roman" w:hAnsi="Times New Roman" w:eastAsia="宋体"/>
          <w:b w:val="0"/>
          <w:color w:val="1F2937"/>
          <w:sz w:val="21"/>
        </w:rPr>
        <w:t>：逐对象比对“对象清单 ↔ 类图 ↔ 三张时序图”，再反向检查时序图里出现的每个业务对象能否在清单中找到条目。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两轮基线</w:t>
      </w:r>
      <w:r>
        <w:rPr>
          <w:rFonts w:ascii="Times New Roman" w:hAnsi="Times New Roman" w:eastAsia="宋体"/>
          <w:b w:val="0"/>
          <w:color w:val="1F2937"/>
          <w:sz w:val="21"/>
        </w:rPr>
        <w:t>：第一轮在组长初版图上做，第二轮在组员最终交付的 v0.2 定稿图上重跑；图与清单冲突时以图为准并回改清单。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5.2　两轮共修掉 9 处不一致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 xml:space="preserve">第一轮发现 </w:t>
      </w:r>
      <w:r>
        <w:rPr>
          <w:rFonts w:ascii="Times New Roman" w:hAnsi="Times New Roman" w:eastAsia="宋体"/>
          <w:b/>
          <w:color w:val="1F2937"/>
          <w:sz w:val="21"/>
        </w:rPr>
        <w:t>5 处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，第二轮在最终基线上又发现 </w:t>
      </w:r>
      <w:r>
        <w:rPr>
          <w:rFonts w:ascii="Times New Roman" w:hAnsi="Times New Roman" w:eastAsia="宋体"/>
          <w:b/>
          <w:color w:val="1F2937"/>
          <w:sz w:val="21"/>
        </w:rPr>
        <w:t>4 处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，合计 </w:t>
      </w:r>
      <w:r>
        <w:rPr>
          <w:rFonts w:ascii="Times New Roman" w:hAnsi="Times New Roman" w:eastAsia="宋体"/>
          <w:b/>
          <w:color w:val="1F2937"/>
          <w:sz w:val="21"/>
        </w:rPr>
        <w:t>9 处</w:t>
      </w:r>
      <w:r>
        <w:rPr>
          <w:rFonts w:ascii="Times New Roman" w:hAnsi="Times New Roman" w:eastAsia="宋体"/>
          <w:b w:val="0"/>
          <w:color w:val="1F2937"/>
          <w:sz w:val="21"/>
        </w:rPr>
        <w:t>。类型集中在两类：“表与图对不上”和“同一别名指向两个对象”。逐条记录如下（完整表见《04-模型一致性检查表 v0.2》§2）：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4　两轮一致性检查共 9 处修正明细</w:t>
      </w:r>
    </w:p>
    <w:tbl>
      <w:tblPr>
        <w:tblW w:type="dxa" w:w="9127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850"/>
        <w:gridCol w:w="4082"/>
        <w:gridCol w:w="4195"/>
      </w:tblGrid>
      <w:tr>
        <w:trPr>
          <w:tblHeader/>
          <w:cantSplit/>
        </w:trPr>
        <w:tc>
          <w:tcPr>
            <w:tcW w:type="dxa" w:w="850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轮次</w:t>
            </w:r>
          </w:p>
        </w:tc>
        <w:tc>
          <w:tcPr>
            <w:tcW w:type="dxa" w:w="4082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问题</w:t>
            </w:r>
          </w:p>
        </w:tc>
        <w:tc>
          <w:tcPr>
            <w:tcW w:type="dxa" w:w="4195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处理结果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一-1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解析任务、索引任务：清单标“进类图”，类图 v0.1 实际未画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按组长裁决纳入 v0.2，新增“采集与索引簇”承载解析任务 / 索引任务 / 索引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一-2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策略：清单标“否”，类图 v0.1 实际画了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以图为准，清单 BO-24 改为“是”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一-3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文档集合：清单与类图都有，类候选集 §2 整条漏写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类候选集补入“文档集合”一行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一-4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类候选集数量自相矛盾（写 14、列 16、图 19）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§3 重写为“v0.2 纳入 21 个类，按五个簇组织”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一-5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时序图内部别名冲突：DS 同时指文档空间与文档集合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检索图别名改为 DocSet；第二轮该生命线取消，冲突彻底消除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二-6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别名 UI 一名两指：入库图指客户端、检索图指检索界面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分别改为 ClientUI 与 SearchUI，显示名不变、导出图视觉无变化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二-7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文档集合在检索图的出现强度标得过高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下调为“被提及但未单列生命线”，与图面一致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二-8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通知在检索图并无生命线与消息，却标为出现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下调为“未出现”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二-9</w:t>
            </w:r>
          </w:p>
        </w:tc>
        <w:tc>
          <w:tcPr>
            <w:tcW w:type="dxa" w:w="408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文档、笔记在认领图全图未出现，却标为出现</w:t>
            </w:r>
          </w:p>
        </w:tc>
        <w:tc>
          <w:tcPr>
            <w:tcW w:type="dxa" w:w="419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下调为“未出现”，来源关系改由类候选集 R-14 承载</w:t>
            </w:r>
          </w:p>
        </w:tc>
      </w:tr>
    </w:tbl>
    <w:p>
      <w:pPr>
        <w:spacing w:before="0" w:after="0" w:line="20" w:lineRule="exact"/>
      </w:pPr>
      <w:r>
        <w:br w:type="page"/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5.3　表 2　业务对象 ↔ 类图 ↔ 时序图 对照总表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2　模型一致性检查表（● 作为参与者出现；○ 被提及或隐含；— 未出现）</w:t>
      </w:r>
    </w:p>
    <w:tbl>
      <w:tblPr>
        <w:tblW w:type="dxa" w:w="9129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765"/>
        <w:gridCol w:w="1134"/>
        <w:gridCol w:w="539"/>
        <w:gridCol w:w="539"/>
        <w:gridCol w:w="539"/>
        <w:gridCol w:w="539"/>
        <w:gridCol w:w="5074"/>
      </w:tblGrid>
      <w:tr>
        <w:trPr>
          <w:tblHeader/>
          <w:cantSplit/>
        </w:trPr>
        <w:tc>
          <w:tcPr>
            <w:tcW w:type="dxa" w:w="765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编号</w:t>
            </w:r>
          </w:p>
        </w:tc>
        <w:tc>
          <w:tcPr>
            <w:tcW w:type="dxa" w:w="113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业务对象</w:t>
            </w:r>
          </w:p>
        </w:tc>
        <w:tc>
          <w:tcPr>
            <w:tcW w:type="dxa" w:w="53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类图</w:t>
            </w:r>
          </w:p>
        </w:tc>
        <w:tc>
          <w:tcPr>
            <w:tcW w:type="dxa" w:w="53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图 2</w:t>
            </w:r>
          </w:p>
        </w:tc>
        <w:tc>
          <w:tcPr>
            <w:tcW w:type="dxa" w:w="53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图 3</w:t>
            </w:r>
          </w:p>
        </w:tc>
        <w:tc>
          <w:tcPr>
            <w:tcW w:type="dxa" w:w="53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图 4</w:t>
            </w:r>
          </w:p>
        </w:tc>
        <w:tc>
          <w:tcPr>
            <w:tcW w:type="dxa" w:w="507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结论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BO-01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用户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一致（作者、审核人为其角色细分）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BO-02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工作区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一致（入库首步显式选择，未单列生命线）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BO-03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文档空间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BO-04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一致（门户来源关系在类候选集 R-14）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BO-05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文档版本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一致（检索按授权版本过滤）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BO-06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解析任务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BO-07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内容块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一致（解析产出／检索候选块）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BO-08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索引任务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BO-09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索引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BO-10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权限规则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一致（入库校验／检索前置过滤）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BO-11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检索请求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BO-12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文档集合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一致（仅在起始消息与图例提及）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BO-13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证据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BO-14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回答结果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BO-15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引用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BO-16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笔记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一致（来源关系在类候选集 R-14）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BO-17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门户条目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BO-18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认领申请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BO-19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审核任务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BO-20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审核结论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BO-21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通知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●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一致（跨流程边界对象，刻意不入类图）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BO-22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审计事件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一致（本轮不建模，仅文档说明）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BO-23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模型配置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否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一致（与外部模型服务不是同一对象）</w:t>
            </w:r>
          </w:p>
        </w:tc>
      </w:tr>
      <w:tr>
        <w:trPr>
          <w:cantSplit/>
        </w:trPr>
        <w:tc>
          <w:tcPr>
            <w:tcW w:type="dxa" w:w="765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BO-24</w:t>
            </w:r>
          </w:p>
        </w:tc>
        <w:tc>
          <w:tcPr>
            <w:tcW w:type="dxa" w:w="113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策略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是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539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○</w:t>
            </w:r>
          </w:p>
        </w:tc>
        <w:tc>
          <w:tcPr>
            <w:tcW w:type="dxa" w:w="50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一致（检索图中以“策略禁云”体现）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结论：类图 v0.2 的 21 个类与对象清单 §5 完全一致；三张时序图中出现的业务对象均可在清单中找到 BO 条目；同仓不存在“一名两指”的别名。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5.4　一致性不只查图，也查“术语与上游”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除三向核对外，本轮还核了两类一致性：一是</w:t>
      </w:r>
      <w:r>
        <w:rPr>
          <w:rFonts w:ascii="Times New Roman" w:hAnsi="Times New Roman" w:eastAsia="宋体"/>
          <w:b/>
          <w:color w:val="1F2937"/>
          <w:sz w:val="21"/>
        </w:rPr>
        <w:t>命名一致性</w:t>
      </w:r>
      <w:r>
        <w:rPr>
          <w:rFonts w:ascii="Times New Roman" w:hAnsi="Times New Roman" w:eastAsia="宋体"/>
          <w:b w:val="0"/>
          <w:color w:val="1F2937"/>
          <w:sz w:val="21"/>
        </w:rPr>
        <w:t>——导入控制器、认领控制器、审核任务、审核结论、检索控制器、回答结果、门户条目七个关键名称不得在时序图中改写成“上传服务”“工单”“待办卡”等别名；二是</w:t>
      </w:r>
      <w:r>
        <w:rPr>
          <w:rFonts w:ascii="Times New Roman" w:hAnsi="Times New Roman" w:eastAsia="宋体"/>
          <w:b/>
          <w:color w:val="1F2937"/>
          <w:sz w:val="21"/>
        </w:rPr>
        <w:t>上游一致性</w:t>
      </w:r>
      <w:r>
        <w:rPr>
          <w:rFonts w:ascii="Times New Roman" w:hAnsi="Times New Roman" w:eastAsia="宋体"/>
          <w:b w:val="0"/>
          <w:color w:val="1F2937"/>
          <w:sz w:val="21"/>
        </w:rPr>
        <w:t>——本阶段的 24 个对象与需求建模 V0.3 的 UC/FR/BR/NFR 逐条对得上，对应关系写在表 1 的“识别依据”列，新增识别的 4 个门户治理对象已显式标注。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最后一类一致性是</w:t>
      </w:r>
      <w:r>
        <w:rPr>
          <w:rFonts w:ascii="Times New Roman" w:hAnsi="Times New Roman" w:eastAsia="宋体"/>
          <w:b/>
          <w:color w:val="1F2937"/>
          <w:sz w:val="21"/>
        </w:rPr>
        <w:t>图号与术语的一致性</w:t>
      </w:r>
      <w:r>
        <w:rPr>
          <w:rFonts w:ascii="Times New Roman" w:hAnsi="Times New Roman" w:eastAsia="宋体"/>
          <w:b w:val="0"/>
          <w:color w:val="1F2937"/>
          <w:sz w:val="21"/>
        </w:rPr>
        <w:t>：报告与 PPT 共用图 1–图 4、表 1–表 2，不各自编号；报告里出现的对象名一律与表 1 同名，不写“文档库”“资料区”这类同义词，避免答辩时被问“这两个是不是一回事”。</w:t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6　AI 使用声明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本阶段按课程“声明、理解、责任”的 AI 使用要求执行：</w:t>
      </w:r>
      <w:r>
        <w:rPr>
          <w:rFonts w:ascii="Times New Roman" w:hAnsi="Times New Roman" w:eastAsia="宋体"/>
          <w:b/>
          <w:color w:val="1F2937"/>
          <w:sz w:val="21"/>
        </w:rPr>
        <w:t>AI 用于提速，不用于定责任</w:t>
      </w:r>
      <w:r>
        <w:rPr>
          <w:rFonts w:ascii="Times New Roman" w:hAnsi="Times New Roman" w:eastAsia="宋体"/>
          <w:b w:val="0"/>
          <w:color w:val="1F2937"/>
          <w:sz w:val="21"/>
        </w:rPr>
        <w:t>。凡是进入仓库的结论，都由组员人工确认后才生效；业务边界怎么划、对象怎么命名、类之间什么关系，由团队自己决定。完整的逐环节记录见《08-AI使用声明-2组-智能笔记助手.docx》，本节只列摘要。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5　AI 参与环节、生成内容与人工确认（摘要）</w:t>
      </w:r>
    </w:p>
    <w:tbl>
      <w:tblPr>
        <w:tblW w:type="dxa" w:w="9185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1474"/>
        <w:gridCol w:w="3969"/>
        <w:gridCol w:w="3742"/>
      </w:tblGrid>
      <w:tr>
        <w:trPr>
          <w:tblHeader/>
          <w:cantSplit/>
        </w:trPr>
        <w:tc>
          <w:tcPr>
            <w:tcW w:type="dxa" w:w="1474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环节</w:t>
            </w:r>
          </w:p>
        </w:tc>
        <w:tc>
          <w:tcPr>
            <w:tcW w:type="dxa" w:w="396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AI 参与方式</w:t>
            </w:r>
          </w:p>
        </w:tc>
        <w:tc>
          <w:tcPr>
            <w:tcW w:type="dxa" w:w="3742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人工确认内容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业务对象识别</w:t>
            </w:r>
          </w:p>
        </w:tc>
        <w:tc>
          <w:tcPr>
            <w:tcW w:type="dxa" w:w="396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辅助从流程脚本中提取“被创建/修改/查询/移交”的候选对象，辅助起草职责描述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组长逐条判断是否成立、是否属于业务对象、归属哪个簇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核心业务类图</w:t>
            </w:r>
          </w:p>
        </w:tc>
        <w:tc>
          <w:tcPr>
            <w:tcW w:type="dxa" w:w="396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辅助起草 PlantUML 代码与关系草稿，辅助检查类的属性覆盖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组长裁决关系类型（组合/聚合/关联/依赖）与是否入图，组员本地渲染核对图面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三张时序图</w:t>
            </w:r>
          </w:p>
        </w:tc>
        <w:tc>
          <w:tcPr>
            <w:tcW w:type="dxa" w:w="396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辅助起草消息序列与异常分支，辅助检查消息编号与流程脚本是否对应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三位组员各自确认业务顺序、状态回写落点与分支取舍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一致性检查</w:t>
            </w:r>
          </w:p>
        </w:tc>
        <w:tc>
          <w:tcPr>
            <w:tcW w:type="dxa" w:w="396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辅助做“对象清单 ↔ 类图 ↔ 三张图”的机械比对，提出疑似不一致项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组长逐条裁决（9 处修正全部由人工确认后落地）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报告与 PPT</w:t>
            </w:r>
          </w:p>
        </w:tc>
        <w:tc>
          <w:tcPr>
            <w:tcW w:type="dxa" w:w="396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辅助按既定骨架起草正文、图注与讲稿，辅助统一术语与版式</w:t>
            </w:r>
          </w:p>
        </w:tc>
        <w:tc>
          <w:tcPr>
            <w:tcW w:type="dxa" w:w="3742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汪昊逐项核对数字、图号、术语与源文件一致后定稿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AI 未参与的部分：用户访谈与证据整理、业务边界的最终裁决、类图结构拍板、答辩口径的确定。所有输入 AI 的材料均为团队自制文档与已公开的仓库材料，不含个人信息与受限原文。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需要说明的是，AI 在本阶段提出的建议</w:t>
      </w:r>
      <w:r>
        <w:rPr>
          <w:rFonts w:ascii="Times New Roman" w:hAnsi="Times New Roman" w:eastAsia="宋体"/>
          <w:b/>
          <w:color w:val="1F2937"/>
          <w:sz w:val="21"/>
        </w:rPr>
        <w:t>并非都被采纳</w:t>
      </w:r>
      <w:r>
        <w:rPr>
          <w:rFonts w:ascii="Times New Roman" w:hAnsi="Times New Roman" w:eastAsia="宋体"/>
          <w:b w:val="0"/>
          <w:color w:val="1F2937"/>
          <w:sz w:val="21"/>
        </w:rPr>
        <w:t>：例如在“解析任务、索引任务是否入类图”上，初稿曾把它们放在“刻意不纳入”里，一致性检查发现这与图 2 矛盾后，才由组长裁决纳入并新增“采集与索引簇”；又如“文档集合”在检索图中是否单列生命线，也是人工比对定稿图后才把标注下调。这些“AI 提出、人工否决或修正”的记录，比“AI 帮我们写了多少字”更能说明人机边界。</w:t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7　小结与后续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7.1　本阶段结论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 xml:space="preserve">一句话概括本阶段：我们把“内置 AI 助手的阅读与笔记系统”，拆成了 </w:t>
      </w:r>
      <w:r>
        <w:rPr>
          <w:rFonts w:ascii="Times New Roman" w:hAnsi="Times New Roman" w:eastAsia="宋体"/>
          <w:b/>
          <w:color w:val="1F2937"/>
          <w:sz w:val="21"/>
        </w:rPr>
        <w:t>24 个业务对象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、一张含 </w:t>
      </w:r>
      <w:r>
        <w:rPr>
          <w:rFonts w:ascii="Times New Roman" w:hAnsi="Times New Roman" w:eastAsia="宋体"/>
          <w:b/>
          <w:color w:val="1F2937"/>
          <w:sz w:val="21"/>
        </w:rPr>
        <w:t>21 个核心业务类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 的类图、</w:t>
      </w:r>
      <w:r>
        <w:rPr>
          <w:rFonts w:ascii="Times New Roman" w:hAnsi="Times New Roman" w:eastAsia="宋体"/>
          <w:b/>
          <w:color w:val="1F2937"/>
          <w:sz w:val="21"/>
        </w:rPr>
        <w:t>3 条关键业务流程</w:t>
      </w:r>
      <w:r>
        <w:rPr>
          <w:rFonts w:ascii="Times New Roman" w:hAnsi="Times New Roman" w:eastAsia="宋体"/>
          <w:b w:val="0"/>
          <w:color w:val="1F2937"/>
          <w:sz w:val="21"/>
        </w:rPr>
        <w:t xml:space="preserve"> 的时序图，并用两轮三向核对修掉了 </w:t>
      </w:r>
      <w:r>
        <w:rPr>
          <w:rFonts w:ascii="Times New Roman" w:hAnsi="Times New Roman" w:eastAsia="宋体"/>
          <w:b/>
          <w:color w:val="1F2937"/>
          <w:sz w:val="21"/>
        </w:rPr>
        <w:t>9 处</w:t>
      </w:r>
      <w:r>
        <w:rPr>
          <w:rFonts w:ascii="Times New Roman" w:hAnsi="Times New Roman" w:eastAsia="宋体"/>
          <w:b w:val="0"/>
          <w:color w:val="1F2937"/>
          <w:sz w:val="21"/>
        </w:rPr>
        <w:t>不一致。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结构上</w:t>
      </w:r>
      <w:r>
        <w:rPr>
          <w:rFonts w:ascii="Times New Roman" w:hAnsi="Times New Roman" w:eastAsia="宋体"/>
          <w:b w:val="0"/>
          <w:color w:val="1F2937"/>
          <w:sz w:val="21"/>
        </w:rPr>
        <w:t>：两个业务域（个人阅读与智能笔记域、知识门户治理域）与三条主干流程已稳定，可作为后续设计的输入。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一致性上</w:t>
      </w:r>
      <w:r>
        <w:rPr>
          <w:rFonts w:ascii="Times New Roman" w:hAnsi="Times New Roman" w:eastAsia="宋体"/>
          <w:b w:val="0"/>
          <w:color w:val="1F2937"/>
          <w:sz w:val="21"/>
        </w:rPr>
        <w:t>：对象—类—时序图三者可互相追溯，术语与上游 UC/FR/BR/NFR 对得上；报告、PPT 与图件共用一套图号。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可讲性上</w:t>
      </w:r>
      <w:r>
        <w:rPr>
          <w:rFonts w:ascii="Times New Roman" w:hAnsi="Times New Roman" w:eastAsia="宋体"/>
          <w:b w:val="0"/>
          <w:color w:val="1F2937"/>
          <w:sz w:val="21"/>
        </w:rPr>
        <w:t>：“引用独立成类”“版本层不可省”“索引独立可降级”三个判断，直接决定了后续检索与问答能否做到可追溯、可降级。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7.2　遗留项（明确移交设计阶段）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① 门户治理域的上游追踪缺口</w:t>
      </w:r>
      <w:r>
        <w:rPr>
          <w:rFonts w:ascii="Times New Roman" w:hAnsi="Times New Roman" w:eastAsia="宋体"/>
          <w:b w:val="0"/>
          <w:color w:val="1F2937"/>
          <w:sz w:val="21"/>
        </w:rPr>
        <w:t>：门户条目、认领申请、审核任务、审核结论 4 个对象属本阶段新增识别，需求建模 V0.3 未覆盖该域，需要在下一阶段补对应用例与追踪链，否则“门户认领审核”这条流程在上游是悬空的。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② 通知、审计事件、模型配置的建模深度</w:t>
      </w:r>
      <w:r>
        <w:rPr>
          <w:rFonts w:ascii="Times New Roman" w:hAnsi="Times New Roman" w:eastAsia="宋体"/>
          <w:b w:val="0"/>
          <w:color w:val="1F2937"/>
          <w:sz w:val="21"/>
        </w:rPr>
        <w:t>：三者按“支撑对象”处理、暂不建模。若后续强调可追溯性（审计）或模型可配置（模型配置），再以扩展视图或设计期类图补充。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③ 索引失效传播的建模深度</w:t>
      </w:r>
      <w:r>
        <w:rPr>
          <w:rFonts w:ascii="Times New Roman" w:hAnsi="Times New Roman" w:eastAsia="宋体"/>
          <w:b w:val="0"/>
          <w:color w:val="1F2937"/>
          <w:sz w:val="21"/>
        </w:rPr>
        <w:t>：解析任务、索引任务目前只保留状态类属性；索引失效（stale）如何沿“文档版本 → 索引 → 引用 → 回答”逐级传播，需要在架构设计阶段用状态图与数据流图展开。</w:t>
      </w:r>
    </w:p>
    <w:p>
      <w:pPr>
        <w:spacing w:before="0" w:after="50" w:line="336" w:lineRule="auto"/>
        <w:ind w:left="351" w:hanging="255"/>
        <w:jc w:val="both"/>
      </w:pPr>
      <w:r>
        <w:rPr>
          <w:rFonts w:ascii="Times New Roman" w:hAnsi="Times New Roman" w:eastAsia="宋体"/>
          <w:b w:val="0"/>
          <w:color w:val="1F4E78"/>
          <w:sz w:val="21"/>
        </w:rPr>
        <w:t xml:space="preserve">▪ </w:t>
      </w:r>
      <w:r>
        <w:rPr>
          <w:rFonts w:ascii="Times New Roman" w:hAnsi="Times New Roman" w:eastAsia="宋体"/>
          <w:b/>
          <w:color w:val="1F2937"/>
          <w:sz w:val="21"/>
        </w:rPr>
        <w:t>④ 与 SRS 终稿的同步</w:t>
      </w:r>
      <w:r>
        <w:rPr>
          <w:rFonts w:ascii="Times New Roman" w:hAnsi="Times New Roman" w:eastAsia="宋体"/>
          <w:b w:val="0"/>
          <w:color w:val="1F2937"/>
          <w:sz w:val="21"/>
        </w:rPr>
        <w:t>：表 1 中“识别依据”为本阶段口径，SRS 正文若在终稿前再修订，需同步回改本表与《04-模型一致性检查表》。</w:t>
      </w:r>
    </w:p>
    <w:p>
      <w:pPr>
        <w:pStyle w:val="Heading2"/>
        <w:keepNext/>
        <w:spacing w:line="300" w:lineRule="auto" w:before="220" w:after="100"/>
      </w:pPr>
      <w:r>
        <w:rPr>
          <w:rFonts w:ascii="Times New Roman" w:hAnsi="Times New Roman" w:eastAsia="黑体"/>
          <w:b/>
          <w:color w:val="1F2937"/>
          <w:sz w:val="25"/>
        </w:rPr>
        <w:t>7.3　向设计阶段移交的四项输入</w:t>
      </w:r>
    </w:p>
    <w:p>
      <w:pPr>
        <w:keepNext w:val="0"/>
        <w:spacing w:before="0" w:after="60" w:line="341" w:lineRule="auto"/>
        <w:ind w:firstLine="420"/>
        <w:jc w:val="both"/>
      </w:pPr>
      <w:r>
        <w:rPr>
          <w:rFonts w:ascii="Times New Roman" w:hAnsi="Times New Roman" w:eastAsia="宋体"/>
          <w:b w:val="0"/>
          <w:color w:val="1F2937"/>
          <w:sz w:val="21"/>
        </w:rPr>
        <w:t>本阶段不写数据库、不写接口，但为下一阶段留下了四样可直接使用的东西：21 个业务类的主属性清单（可映射为实体）、三条流程的时序与状态回写点（可映射为服务交互与异步任务）、9 处一致性修正记录（可避免重复踩坑）、以及“什么必须可追溯”的业务底线（引用、版本、索引失效）。</w:t>
        <w:br w:type="page"/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附录 A　图件与源文件对照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A-1　四张定稿图的源文件、导出件与版本</w:t>
      </w:r>
    </w:p>
    <w:tbl>
      <w:tblPr>
        <w:tblW w:type="dxa" w:w="9128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737"/>
        <w:gridCol w:w="2268"/>
        <w:gridCol w:w="3175"/>
        <w:gridCol w:w="2041"/>
        <w:gridCol w:w="907"/>
      </w:tblGrid>
      <w:tr>
        <w:trPr>
          <w:tblHeader/>
          <w:cantSplit/>
        </w:trPr>
        <w:tc>
          <w:tcPr>
            <w:tcW w:type="dxa" w:w="737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图号</w:t>
            </w:r>
          </w:p>
        </w:tc>
        <w:tc>
          <w:tcPr>
            <w:tcW w:type="dxa" w:w="226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名称</w:t>
            </w:r>
          </w:p>
        </w:tc>
        <w:tc>
          <w:tcPr>
            <w:tcW w:type="dxa" w:w="3175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源文件（可编辑）</w:t>
            </w:r>
          </w:p>
        </w:tc>
        <w:tc>
          <w:tcPr>
            <w:tcW w:type="dxa" w:w="2041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导出件</w:t>
            </w:r>
          </w:p>
        </w:tc>
        <w:tc>
          <w:tcPr>
            <w:tcW w:type="dxa" w:w="907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版本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1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核心业务类图</w:t>
            </w:r>
          </w:p>
        </w:tc>
        <w:tc>
          <w:tcPr>
            <w:tcW w:type="dxa" w:w="317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分析图/核心业务类图-v0.2.puml</w:t>
            </w:r>
          </w:p>
        </w:tc>
        <w:tc>
          <w:tcPr>
            <w:tcW w:type="dxa" w:w="204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核心业务类图-v0.2.png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v0.2 定稿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2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时序图·数据采集入库</w:t>
            </w:r>
          </w:p>
        </w:tc>
        <w:tc>
          <w:tcPr>
            <w:tcW w:type="dxa" w:w="317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分析图/时序图-数据采集入库-v0.2.puml</w:t>
            </w:r>
          </w:p>
        </w:tc>
        <w:tc>
          <w:tcPr>
            <w:tcW w:type="dxa" w:w="204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时序图-数据采集入库-v0.2.png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v0.2 定稿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3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时序图·门户认领审核</w:t>
            </w:r>
          </w:p>
        </w:tc>
        <w:tc>
          <w:tcPr>
            <w:tcW w:type="dxa" w:w="317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分析图/时序图-门户认领审核-v0.2.puml</w:t>
            </w:r>
          </w:p>
        </w:tc>
        <w:tc>
          <w:tcPr>
            <w:tcW w:type="dxa" w:w="204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时序图-门户认领审核-v0.2.png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v0.2 定稿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 4</w:t>
            </w:r>
          </w:p>
        </w:tc>
        <w:tc>
          <w:tcPr>
            <w:tcW w:type="dxa" w:w="226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时序图·检索请求处理</w:t>
            </w:r>
          </w:p>
        </w:tc>
        <w:tc>
          <w:tcPr>
            <w:tcW w:type="dxa" w:w="3175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分析图/时序图-检索请求处理-v0.2.puml</w:t>
            </w:r>
          </w:p>
        </w:tc>
        <w:tc>
          <w:tcPr>
            <w:tcW w:type="dxa" w:w="2041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时序图-检索请求处理-v0.2.png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v0.2 定稿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说明：v0.1 各图为组长初版，已作为过程稿归档在同一目录（-v0.1.puml / .png），报告与 PPT 一律使用 v0.2 定稿。按课程要求，建模图须以规范工具产出、不得以手绘或截图拼贴代替；本组图件全部由 PlantUML 源码渲染，源文件随仓库提交。</w:t>
      </w:r>
    </w:p>
    <w:p>
      <w:pPr>
        <w:pStyle w:val="Heading1"/>
        <w:keepNext/>
        <w:spacing w:line="300" w:lineRule="auto" w:before="300" w:after="160"/>
        <w:pBdr>
          <w:bottom w:val="single" w:sz="8" w:space="4" w:color="1F4E78"/>
        </w:pBdr>
      </w:pPr>
      <w:r>
        <w:rPr>
          <w:rFonts w:ascii="Times New Roman" w:hAnsi="Times New Roman" w:eastAsia="黑体"/>
          <w:b/>
          <w:color w:val="1F4E78"/>
          <w:sz w:val="30"/>
        </w:rPr>
        <w:t>附录 B　交付物与版本记录</w:t>
      </w:r>
    </w:p>
    <w:p>
      <w:pPr>
        <w:keepNext/>
        <w:spacing w:before="100" w:after="60" w:line="276" w:lineRule="auto"/>
        <w:jc w:val="center"/>
      </w:pPr>
      <w:r>
        <w:rPr>
          <w:rFonts w:ascii="Times New Roman" w:hAnsi="Times New Roman" w:eastAsia="宋体"/>
          <w:b/>
          <w:color w:val="1F2937"/>
          <w:sz w:val="18"/>
        </w:rPr>
        <w:t>表 B-1　本阶段 2 组交付物清单</w:t>
      </w:r>
    </w:p>
    <w:tbl>
      <w:tblPr>
        <w:tblW w:type="dxa" w:w="9354"/>
        <w:jc w:val="center"/>
        <w:tblBorders>
          <w:top w:val="single" w:sz="12" w:space="0" w:color="1F4E78"/>
          <w:left w:val="none" w:sz="0" w:space="0" w:color="auto"/>
          <w:bottom w:val="single" w:sz="12" w:space="0" w:color="1F4E78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firstColumn="1" w:firstRow="1" w:lastColumn="0" w:lastRow="0" w:noHBand="0" w:noVBand="1" w:val="04A0"/>
      </w:tblPr>
      <w:tblGrid>
        <w:gridCol w:w="680"/>
        <w:gridCol w:w="2608"/>
        <w:gridCol w:w="4139"/>
        <w:gridCol w:w="1020"/>
        <w:gridCol w:w="907"/>
      </w:tblGrid>
      <w:tr>
        <w:trPr>
          <w:tblHeader/>
          <w:cantSplit/>
        </w:trPr>
        <w:tc>
          <w:tcPr>
            <w:tcW w:type="dxa" w:w="680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序号</w:t>
            </w:r>
          </w:p>
        </w:tc>
        <w:tc>
          <w:tcPr>
            <w:tcW w:type="dxa" w:w="2608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材料</w:t>
            </w:r>
          </w:p>
        </w:tc>
        <w:tc>
          <w:tcPr>
            <w:tcW w:type="dxa" w:w="4139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文件</w:t>
            </w:r>
          </w:p>
        </w:tc>
        <w:tc>
          <w:tcPr>
            <w:tcW w:type="dxa" w:w="1020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责任人</w:t>
            </w:r>
          </w:p>
        </w:tc>
        <w:tc>
          <w:tcPr>
            <w:tcW w:type="dxa" w:w="907"/>
            <w:tcBorders>
              <w:bottom w:val="single" w:sz="6" w:space="0" w:color="1F4E78"/>
            </w:tcBorders>
            <w:shd w:val="clear" w:color="auto" w:fill="EAF3F8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黑体"/>
                <w:b/>
                <w:color w:val="1F4E78"/>
                <w:sz w:val="17"/>
              </w:rPr>
              <w:t>状态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01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需求分析报告（Word）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01-需求分析报告-2组-智能笔记助手.docx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汪昊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V1.0 成稿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02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核心业务类图（源文件＋导出图）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分析图/核心业务类图-v0.2.puml / .png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郭谦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定稿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03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数据采集入库时序图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分析图/时序图-数据采集入库-v0.2.puml / .png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程禹轩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定稿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04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门户认领审核时序图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分析图/时序图-门户认领审核-v0.2.puml / .png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朱紫轩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定稿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05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检索请求处理时序图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分析图/时序图-检索请求处理-v0.2.puml / .png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廖欣豪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定稿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06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需求分析汇报 PPT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06-汇报PPT-2组-智能笔记助手.pptx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汪昊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V1.0 成稿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07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修改说明与版本记录表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课堂点评后按附录 C 表 C.1 格式回填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郭谦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课后回填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08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AI 使用声明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08-AI使用声明-2组-智能笔记助手.docx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汪昊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V1.0 成稿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支撑材料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01-业务对象清单 / 02-关键流程文字脚本 / 03-类候选集 / 04-一致性检查表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郭谦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已归档</w:t>
            </w:r>
          </w:p>
        </w:tc>
      </w:tr>
      <w:tr>
        <w:trPr>
          <w:cantSplit/>
        </w:trPr>
        <w:tc>
          <w:tcPr>
            <w:tcW w:type="dxa" w:w="68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—</w:t>
            </w:r>
          </w:p>
        </w:tc>
        <w:tc>
          <w:tcPr>
            <w:tcW w:type="dxa" w:w="2608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图注说明（三份）</w:t>
            </w:r>
          </w:p>
        </w:tc>
        <w:tc>
          <w:tcPr>
            <w:tcW w:type="dxa" w:w="4139"/>
          </w:tcPr>
          <w:p>
            <w:pPr>
              <w:spacing w:before="30" w:after="30" w:line="264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分析图/图注说明-时序图-*.md</w:t>
            </w:r>
          </w:p>
        </w:tc>
        <w:tc>
          <w:tcPr>
            <w:tcW w:type="dxa" w:w="1020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三位组员</w:t>
            </w:r>
          </w:p>
        </w:tc>
        <w:tc>
          <w:tcPr>
            <w:tcW w:type="dxa" w:w="907"/>
          </w:tcPr>
          <w:p>
            <w:pPr>
              <w:spacing w:before="30" w:after="30" w:line="264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1F2937"/>
                <w:sz w:val="16"/>
              </w:rPr>
              <w:t>已归档</w:t>
            </w:r>
          </w:p>
        </w:tc>
      </w:tr>
    </w:tbl>
    <w:p>
      <w:pPr>
        <w:spacing w:before="0" w:after="200" w:line="300" w:lineRule="auto"/>
        <w:jc w:val="left"/>
      </w:pPr>
      <w:r>
        <w:rPr>
          <w:rFonts w:ascii="Times New Roman" w:hAnsi="Times New Roman" w:eastAsia="宋体"/>
          <w:b w:val="0"/>
          <w:color w:val="595959"/>
          <w:sz w:val="17"/>
        </w:rPr>
        <w:t>命名依据：《课堂展示与提交要求（需求分析）》§四（二）“序号-文件名-团队名”；团队名取“2组-智能笔记助手”，与本仓库既有命名习惯（-2组-阅读助手）保持一致。</w:t>
      </w:r>
    </w:p>
    <w:p>
      <w:pPr>
        <w:spacing w:before="320"/>
        <w:jc w:val="center"/>
      </w:pPr>
      <w:r>
        <w:rPr>
          <w:rFonts w:ascii="Times New Roman" w:hAnsi="Times New Roman" w:eastAsia="宋体"/>
          <w:b w:val="0"/>
          <w:color w:val="595959"/>
          <w:sz w:val="18"/>
        </w:rPr>
        <w:t>— 报告结束　|　第 2 组　2026-10-27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389" w:bottom="1219" w:left="1389" w:header="652" w:footer="65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spacing w:before="0" w:after="0"/>
      <w:jc w:val="left"/>
    </w:pPr>
    <w:r/>
    <w:r>
      <w:rPr>
        <w:rFonts w:ascii="Times New Roman" w:hAnsi="Times New Roman" w:eastAsia="宋体"/>
        <w:b w:val="0"/>
        <w:color w:val="595959"/>
        <w:sz w:val="17"/>
      </w:rPr>
      <w:t>第 2 组 ｜ 智能笔记助手 ｜ 2026-10-27</w:t>
    </w:r>
    <w:r>
      <w:rPr>
        <w:rFonts w:ascii="Times New Roman" w:hAnsi="Times New Roman" w:eastAsia="宋体"/>
        <w:b w:val="0"/>
        <w:color w:val="595959"/>
        <w:sz w:val="17"/>
      </w:rPr>
      <w:tab/>
    </w:r>
    <w:r>
      <w:rPr>
        <w:rFonts w:ascii="Times New Roman" w:hAnsi="Times New Roman" w:eastAsia="宋体"/>
        <w:b w:val="0"/>
        <w:color w:val="595959"/>
        <w:sz w:val="17"/>
      </w:rPr>
      <w:t xml:space="preserve">第 </w:t>
    </w:r>
    <w:fldSimple w:instr="PAGE">
      <w:r>
        <w:rPr>
          <w:sz w:val="17"/>
        </w:rPr>
        <w:t>1</w:t>
      </w:r>
    </w:fldSimple>
    <w:r>
      <w:rPr>
        <w:rFonts w:ascii="Times New Roman" w:hAnsi="Times New Roman" w:eastAsia="宋体"/>
        <w:b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4" w:space="2" w:color="BFBFBF"/>
      </w:pBdr>
    </w:pPr>
    <w:r/>
    <w:r>
      <w:rPr>
        <w:rFonts w:ascii="Times New Roman" w:hAnsi="Times New Roman" w:eastAsia="宋体"/>
        <w:b w:val="0"/>
        <w:color w:val="595959"/>
        <w:sz w:val="17"/>
      </w:rPr>
      <w:t>智能笔记助手 · 需求分析报告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41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