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Times New Roman" w:hAnsi="Times New Roman" w:eastAsia="宋体"/>
          <w:b w:val="0"/>
          <w:color w:val="595959"/>
          <w:sz w:val="21"/>
        </w:rPr>
        <w:t>《软件系统分析与设计》课程实践作业 3 · 需求分析</w:t>
      </w:r>
    </w:p>
    <w:p>
      <w:pPr>
        <w:spacing w:before="40" w:after="80"/>
        <w:jc w:val="center"/>
      </w:pPr>
      <w:r>
        <w:rPr>
          <w:rFonts w:ascii="Times New Roman" w:hAnsi="Times New Roman" w:eastAsia="黑体"/>
          <w:b/>
          <w:color w:val="1F4E78"/>
          <w:sz w:val="40"/>
        </w:rPr>
        <w:t>A I  使 用 声 明</w:t>
      </w:r>
    </w:p>
    <w:p>
      <w:pPr>
        <w:spacing w:before="0" w:after="240"/>
        <w:jc w:val="center"/>
      </w:pPr>
      <w:r>
        <w:rPr>
          <w:rFonts w:ascii="Times New Roman" w:hAnsi="Times New Roman" w:eastAsia="宋体"/>
          <w:b w:val="0"/>
          <w:color w:val="595959"/>
          <w:sz w:val="22"/>
        </w:rPr>
        <w:t>智能笔记助手 · 第 2 组　|　作业 3 需求分析阶段</w:t>
      </w:r>
    </w:p>
    <w:tbl>
      <w:tblPr>
        <w:tblW w:type="dxa" w:w="9071"/>
        <w:jc w:val="center"/>
        <w:tblBorders>
          <w:top w:val="single" w:sz="12" w:space="0" w:color="1F4E78"/>
          <w:left w:val="none" w:sz="0" w:space="0" w:color="auto"/>
          <w:bottom w:val="single" w:sz="12" w:space="0" w:color="1F4E78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34" w:type="dxa"/>
          <w:left w:w="68" w:type="dxa"/>
          <w:bottom w:w="34" w:type="dxa"/>
          <w:right w:w="68" w:type="dxa"/>
        </w:tblCellMar>
        <w:tblLook w:firstColumn="1" w:firstRow="1" w:lastColumn="0" w:lastRow="0" w:noHBand="0" w:noVBand="1" w:val="04A0"/>
      </w:tblPr>
      <w:tblGrid>
        <w:gridCol w:w="1928"/>
        <w:gridCol w:w="7143"/>
      </w:tblGrid>
      <w:tr>
        <w:trPr>
          <w:tblHeader/>
          <w:cantSplit/>
        </w:trPr>
        <w:tc>
          <w:tcPr>
            <w:tcW w:type="dxa" w:w="1928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9"/>
              </w:rPr>
              <w:t>项目</w:t>
            </w:r>
          </w:p>
        </w:tc>
        <w:tc>
          <w:tcPr>
            <w:tcW w:type="dxa" w:w="7143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文档版本</w:t>
            </w:r>
          </w:p>
        </w:tc>
        <w:tc>
          <w:tcPr>
            <w:tcW w:type="dxa" w:w="714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V1.0（随需求分析终稿提交）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编制</w:t>
            </w:r>
          </w:p>
        </w:tc>
        <w:tc>
          <w:tcPr>
            <w:tcW w:type="dxa" w:w="714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汪昊（W10 报告 / W11 PPT / W12 本声明）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审核</w:t>
            </w:r>
          </w:p>
        </w:tc>
        <w:tc>
          <w:tcPr>
            <w:tcW w:type="dxa" w:w="714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郭谦（组长 · 模型与口径定稿）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适用阶段</w:t>
            </w:r>
          </w:p>
        </w:tc>
        <w:tc>
          <w:tcPr>
            <w:tcW w:type="dxa" w:w="714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作业 3 · 需求分析（2026-10-23 ～ 2026-11-03）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提交要求依据</w:t>
            </w:r>
          </w:p>
        </w:tc>
        <w:tc>
          <w:tcPr>
            <w:tcW w:type="dxa" w:w="714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《课堂展示与提交要求（需求分析）》§二（二）5、§四（三）第 8 项、§五 3</w:t>
            </w:r>
          </w:p>
        </w:tc>
      </w:tr>
    </w:tbl>
    <w:p>
      <w:pPr>
        <w:pStyle w:val="Heading1"/>
        <w:keepNext/>
        <w:spacing w:line="300" w:lineRule="auto" w:before="280" w:after="120"/>
      </w:pPr>
      <w:r>
        <w:rPr>
          <w:rFonts w:ascii="Times New Roman" w:hAnsi="Times New Roman" w:eastAsia="黑体"/>
          <w:b/>
          <w:color w:val="1F4E78"/>
          <w:sz w:val="28"/>
        </w:rPr>
        <w:t>一、声明</w:t>
      </w:r>
    </w:p>
    <w:p>
      <w:pPr>
        <w:spacing w:before="0" w:after="60" w:line="336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本小组在需求分析阶段使用生成式 AI 工具（以下简称“AI”）辅助完成部分建模与文档工作。我们按课程 AI 使用政策“</w:t>
      </w:r>
      <w:r>
        <w:rPr>
          <w:rFonts w:ascii="Times New Roman" w:hAnsi="Times New Roman" w:eastAsia="宋体"/>
          <w:b/>
          <w:color w:val="1F2937"/>
          <w:sz w:val="21"/>
        </w:rPr>
        <w:t>声明、理解、责任</w:t>
      </w:r>
      <w:r>
        <w:rPr>
          <w:rFonts w:ascii="Times New Roman" w:hAnsi="Times New Roman" w:eastAsia="宋体"/>
          <w:b w:val="0"/>
          <w:color w:val="1F2937"/>
          <w:sz w:val="21"/>
        </w:rPr>
        <w:t>”三原则作如下声明：</w:t>
      </w:r>
    </w:p>
    <w:p>
      <w:pPr>
        <w:spacing w:before="0" w:after="50" w:line="331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声明</w:t>
      </w:r>
      <w:r>
        <w:rPr>
          <w:rFonts w:ascii="Times New Roman" w:hAnsi="Times New Roman" w:eastAsia="宋体"/>
          <w:b w:val="0"/>
          <w:color w:val="1F2937"/>
          <w:sz w:val="21"/>
        </w:rPr>
        <w:t>：本文件如实列出 AI 参与的环节、生成的内容与验证方式，不隐瞒、不夸大。</w:t>
      </w:r>
    </w:p>
    <w:p>
      <w:pPr>
        <w:spacing w:before="0" w:after="50" w:line="331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理解</w:t>
      </w:r>
      <w:r>
        <w:rPr>
          <w:rFonts w:ascii="Times New Roman" w:hAnsi="Times New Roman" w:eastAsia="宋体"/>
          <w:b w:val="0"/>
          <w:color w:val="1F2937"/>
          <w:sz w:val="21"/>
        </w:rPr>
        <w:t>：AI 输出被一律视为</w:t>
      </w:r>
      <w:r>
        <w:rPr>
          <w:rFonts w:ascii="Times New Roman" w:hAnsi="Times New Roman" w:eastAsia="宋体"/>
          <w:b/>
          <w:color w:val="1F2937"/>
          <w:sz w:val="21"/>
        </w:rPr>
        <w:t>初稿</w:t>
      </w:r>
      <w:r>
        <w:rPr>
          <w:rFonts w:ascii="Times New Roman" w:hAnsi="Times New Roman" w:eastAsia="宋体"/>
          <w:b w:val="0"/>
          <w:color w:val="1F2937"/>
          <w:sz w:val="21"/>
        </w:rPr>
        <w:t>；模型不会为结论负责，只有人能判断“这个对象该不该有”“这条关系对不对”。因此凡是进入仓库的结论，都由组员逐条阅读、比对源材料后才保留。</w:t>
      </w:r>
    </w:p>
    <w:p>
      <w:pPr>
        <w:spacing w:before="0" w:after="50" w:line="331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责任</w:t>
      </w:r>
      <w:r>
        <w:rPr>
          <w:rFonts w:ascii="Times New Roman" w:hAnsi="Times New Roman" w:eastAsia="宋体"/>
          <w:b w:val="0"/>
          <w:color w:val="1F2937"/>
          <w:sz w:val="21"/>
        </w:rPr>
        <w:t>：本阶段全部交付物的</w:t>
      </w:r>
      <w:r>
        <w:rPr>
          <w:rFonts w:ascii="Times New Roman" w:hAnsi="Times New Roman" w:eastAsia="宋体"/>
          <w:b/>
          <w:color w:val="1F2937"/>
          <w:sz w:val="21"/>
        </w:rPr>
        <w:t>文责由第 2 组承担</w:t>
      </w:r>
      <w:r>
        <w:rPr>
          <w:rFonts w:ascii="Times New Roman" w:hAnsi="Times New Roman" w:eastAsia="宋体"/>
          <w:b w:val="0"/>
          <w:color w:val="1F2937"/>
          <w:sz w:val="21"/>
        </w:rPr>
        <w:t>。若某处结论有误，不归因于 AI，由对应责任人与组长负责修正。</w:t>
      </w:r>
    </w:p>
    <w:p>
      <w:pPr>
        <w:spacing w:before="0" w:after="60" w:line="336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一句话概括本阶段的人机分工：</w:t>
      </w:r>
      <w:r>
        <w:rPr>
          <w:rFonts w:ascii="Times New Roman" w:hAnsi="Times New Roman" w:eastAsia="宋体"/>
          <w:b/>
          <w:color w:val="1F2937"/>
          <w:sz w:val="21"/>
        </w:rPr>
        <w:t>AI 负责检索、比对、起草与格式整理；人负责业务边界、命名口径、关系取舍与最终裁决。</w:t>
      </w:r>
    </w:p>
    <w:p>
      <w:pPr>
        <w:pStyle w:val="Heading1"/>
        <w:keepNext/>
        <w:spacing w:line="300" w:lineRule="auto" w:before="280" w:after="120"/>
      </w:pPr>
      <w:r>
        <w:rPr>
          <w:rFonts w:ascii="Times New Roman" w:hAnsi="Times New Roman" w:eastAsia="黑体"/>
          <w:b/>
          <w:color w:val="1F4E78"/>
          <w:sz w:val="28"/>
        </w:rPr>
        <w:t>二、使用范围总览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宋体"/>
          <w:b/>
          <w:color w:val="1F2937"/>
          <w:sz w:val="18"/>
        </w:rPr>
        <w:t>表 1　AI 参与环节、生成内容与人工验证方式</w:t>
      </w:r>
    </w:p>
    <w:tbl>
      <w:tblPr>
        <w:tblW w:type="dxa" w:w="9185"/>
        <w:jc w:val="center"/>
        <w:tblBorders>
          <w:top w:val="single" w:sz="12" w:space="0" w:color="1F4E78"/>
          <w:left w:val="none" w:sz="0" w:space="0" w:color="auto"/>
          <w:bottom w:val="single" w:sz="12" w:space="0" w:color="1F4E78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34" w:type="dxa"/>
          <w:left w:w="68" w:type="dxa"/>
          <w:bottom w:w="34" w:type="dxa"/>
          <w:right w:w="68" w:type="dxa"/>
        </w:tblCellMar>
        <w:tblLook w:firstColumn="1" w:firstRow="1" w:lastColumn="0" w:lastRow="0" w:noHBand="0" w:noVBand="1" w:val="04A0"/>
      </w:tblPr>
      <w:tblGrid>
        <w:gridCol w:w="1304"/>
        <w:gridCol w:w="2381"/>
        <w:gridCol w:w="2268"/>
        <w:gridCol w:w="2438"/>
        <w:gridCol w:w="794"/>
      </w:tblGrid>
      <w:tr>
        <w:trPr>
          <w:tblHeader/>
          <w:cantSplit/>
        </w:trPr>
        <w:tc>
          <w:tcPr>
            <w:tcW w:type="dxa" w:w="1304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环节</w:t>
            </w:r>
          </w:p>
        </w:tc>
        <w:tc>
          <w:tcPr>
            <w:tcW w:type="dxa" w:w="2381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AI 参与方式</w:t>
            </w:r>
          </w:p>
        </w:tc>
        <w:tc>
          <w:tcPr>
            <w:tcW w:type="dxa" w:w="2268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AI 生成的具体内容</w:t>
            </w:r>
          </w:p>
        </w:tc>
        <w:tc>
          <w:tcPr>
            <w:tcW w:type="dxa" w:w="2438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人工验证方式</w:t>
            </w:r>
          </w:p>
        </w:tc>
        <w:tc>
          <w:tcPr>
            <w:tcW w:type="dxa" w:w="794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责任人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业务对象识别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从流程脚本与上游 SRS/领域模型材料中抽取候选对象，起草职责描述</w:t>
            </w:r>
          </w:p>
        </w:tc>
        <w:tc>
          <w:tcPr>
            <w:tcW w:type="dxa" w:w="226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候选对象清单、每个对象的一句话职责、分组建议</w:t>
            </w:r>
          </w:p>
        </w:tc>
        <w:tc>
          <w:tcPr>
            <w:tcW w:type="dxa" w:w="243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组长逐条判断是否成立、是否属业务对象、归入哪个簇；抽查对象与 UC/FR 的对应关系</w:t>
            </w:r>
          </w:p>
        </w:tc>
        <w:tc>
          <w:tcPr>
            <w:tcW w:type="dxa" w:w="79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郭谦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核心业务类图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起草 PlantUML 代码骨架与关系草稿；检查类的属性覆盖</w:t>
            </w:r>
          </w:p>
        </w:tc>
        <w:tc>
          <w:tcPr>
            <w:tcW w:type="dxa" w:w="226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package 划分、类的属性列表、关联/聚合/组合的初稿</w:t>
            </w:r>
          </w:p>
        </w:tc>
        <w:tc>
          <w:tcPr>
            <w:tcW w:type="dxa" w:w="243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组长裁决关系类型与是否入图；组员本地渲染核对；与对象清单逐条对齐</w:t>
            </w:r>
          </w:p>
        </w:tc>
        <w:tc>
          <w:tcPr>
            <w:tcW w:type="dxa" w:w="79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郭谦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三张时序图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起草消息序列与异常分支；检查消息编号与流程脚本的对应</w:t>
            </w:r>
          </w:p>
        </w:tc>
        <w:tc>
          <w:tcPr>
            <w:tcW w:type="dxa" w:w="226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参与者与生命线排列、消息文本、alt/break 分支结构</w:t>
            </w:r>
          </w:p>
        </w:tc>
        <w:tc>
          <w:tcPr>
            <w:tcW w:type="dxa" w:w="243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三位组员各自确认业务顺序、状态回写落点与分支取舍；组长做三向一致性核对</w:t>
            </w:r>
          </w:p>
        </w:tc>
        <w:tc>
          <w:tcPr>
            <w:tcW w:type="dxa" w:w="79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程禹轩 / 朱紫轩 / 廖欣豪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一致性检查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机械比对“对象清单 ↔ 类图 ↔ 三张图”，提出疑似不一致项</w:t>
            </w:r>
          </w:p>
        </w:tc>
        <w:tc>
          <w:tcPr>
            <w:tcW w:type="dxa" w:w="226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疑似不一致清单、别名冲突候选</w:t>
            </w:r>
          </w:p>
        </w:tc>
        <w:tc>
          <w:tcPr>
            <w:tcW w:type="dxa" w:w="243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组长逐条裁决；9 处修正全部由人工确认后落地</w:t>
            </w:r>
          </w:p>
        </w:tc>
        <w:tc>
          <w:tcPr>
            <w:tcW w:type="dxa" w:w="79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郭谦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报告与 PPT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按既定骨架起草正文、图注与讲稿；统一术语与版式</w:t>
            </w:r>
          </w:p>
        </w:tc>
        <w:tc>
          <w:tcPr>
            <w:tcW w:type="dxa" w:w="226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章节初稿、图注文字、PPT 版式与要点提炼</w:t>
            </w:r>
          </w:p>
        </w:tc>
        <w:tc>
          <w:tcPr>
            <w:tcW w:type="dxa" w:w="243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汪昊逐项核对数字、图号、术语与源文件一致；组长终审口径</w:t>
            </w:r>
          </w:p>
        </w:tc>
        <w:tc>
          <w:tcPr>
            <w:tcW w:type="dxa" w:w="79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汪昊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本声明本身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协助整理声明结构与措辞</w:t>
            </w:r>
          </w:p>
        </w:tc>
        <w:tc>
          <w:tcPr>
            <w:tcW w:type="dxa" w:w="226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本文档的章节结构与初稿文字</w:t>
            </w:r>
          </w:p>
        </w:tc>
        <w:tc>
          <w:tcPr>
            <w:tcW w:type="dxa" w:w="243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汪昊核对事实（谁做了什么、验证了什么）后定稿</w:t>
            </w:r>
          </w:p>
        </w:tc>
        <w:tc>
          <w:tcPr>
            <w:tcW w:type="dxa" w:w="79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汪昊</w:t>
            </w:r>
          </w:p>
        </w:tc>
      </w:tr>
    </w:tbl>
    <w:p>
      <w:pPr>
        <w:spacing w:before="0" w:after="180" w:line="293" w:lineRule="auto"/>
      </w:pPr>
      <w:r>
        <w:rPr>
          <w:rFonts w:ascii="Times New Roman" w:hAnsi="Times New Roman" w:eastAsia="宋体"/>
          <w:b w:val="0"/>
          <w:color w:val="595959"/>
          <w:sz w:val="17"/>
        </w:rPr>
        <w:t>使用的工具：以对话式编程/写作助手为主（含代码与文档辅助能力），模型具体版本随使用当日而定；未接入任何课程平台数据，也未把仓库内的受限材料提交给外部服务（见 §六）。</w:t>
      </w:r>
    </w:p>
    <w:p>
      <w:pPr>
        <w:pStyle w:val="Heading1"/>
        <w:keepNext/>
        <w:spacing w:line="300" w:lineRule="auto" w:before="280" w:after="120"/>
      </w:pPr>
      <w:r>
        <w:rPr>
          <w:rFonts w:ascii="Times New Roman" w:hAnsi="Times New Roman" w:eastAsia="黑体"/>
          <w:b/>
          <w:color w:val="1F4E78"/>
          <w:sz w:val="28"/>
        </w:rPr>
        <w:t>三、逐环节说明</w:t>
      </w:r>
    </w:p>
    <w:p>
      <w:pPr>
        <w:pStyle w:val="Heading2"/>
        <w:keepNext/>
        <w:spacing w:line="300" w:lineRule="auto" w:before="180" w:after="80"/>
      </w:pPr>
      <w:r>
        <w:rPr>
          <w:rFonts w:ascii="Times New Roman" w:hAnsi="Times New Roman" w:eastAsia="黑体"/>
          <w:b/>
          <w:color w:val="1F2937"/>
          <w:sz w:val="23"/>
        </w:rPr>
        <w:t>3.1　业务对象识别</w:t>
      </w:r>
    </w:p>
    <w:p>
      <w:pPr>
        <w:spacing w:before="0" w:after="60" w:line="336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AI 的作用是</w:t>
      </w:r>
      <w:r>
        <w:rPr>
          <w:rFonts w:ascii="Times New Roman" w:hAnsi="Times New Roman" w:eastAsia="宋体"/>
          <w:b/>
          <w:color w:val="1F2937"/>
          <w:sz w:val="21"/>
        </w:rPr>
        <w:t>把散落在流程脚本里的名词先捞出来</w:t>
      </w:r>
      <w:r>
        <w:rPr>
          <w:rFonts w:ascii="Times New Roman" w:hAnsi="Times New Roman" w:eastAsia="宋体"/>
          <w:b w:val="0"/>
          <w:color w:val="1F2937"/>
          <w:sz w:val="21"/>
        </w:rPr>
        <w:t>，避免人工逐字通读漏项。它给出的初稿包含约 30 个候选名词，经人工筛选后保留 24 个为业务对象，剔除的 6 类包括界面、控制器、外部系统、角色细分等。</w:t>
      </w:r>
    </w:p>
    <w:p>
      <w:pPr>
        <w:spacing w:before="0" w:after="60" w:line="336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人工验证的关键动作有三个：一是判断“它是否会被创建、修改、查询或移交”；二是判断“它是否需要被长期追踪状态”；三是把每个对象对回上游 UC/FR，认领不了的标注为“本阶段新增”。</w:t>
      </w:r>
      <w:r>
        <w:rPr>
          <w:rFonts w:ascii="Times New Roman" w:hAnsi="Times New Roman" w:eastAsia="宋体"/>
          <w:b/>
          <w:color w:val="1F2937"/>
          <w:sz w:val="21"/>
        </w:rPr>
        <w:t>门户治理簇的 4 个对象就是这样被识别出来的，并在报告表 1 里显式标注为本阶段新增、上游未覆盖。</w:t>
      </w:r>
    </w:p>
    <w:p>
      <w:pPr>
        <w:pStyle w:val="Heading2"/>
        <w:keepNext/>
        <w:spacing w:line="300" w:lineRule="auto" w:before="180" w:after="80"/>
      </w:pPr>
      <w:r>
        <w:rPr>
          <w:rFonts w:ascii="Times New Roman" w:hAnsi="Times New Roman" w:eastAsia="黑体"/>
          <w:b/>
          <w:color w:val="1F2937"/>
          <w:sz w:val="23"/>
        </w:rPr>
        <w:t>3.2　核心业务类图</w:t>
      </w:r>
    </w:p>
    <w:p>
      <w:pPr>
        <w:spacing w:before="0" w:after="60" w:line="336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AI 起草了 PlantUML 骨架与属性列表，但</w:t>
      </w:r>
      <w:r>
        <w:rPr>
          <w:rFonts w:ascii="Times New Roman" w:hAnsi="Times New Roman" w:eastAsia="宋体"/>
          <w:b/>
          <w:color w:val="1F2937"/>
          <w:sz w:val="21"/>
        </w:rPr>
        <w:t>类之间用什么关系、哪些类进图，全部由人来定</w:t>
      </w:r>
      <w:r>
        <w:rPr>
          <w:rFonts w:ascii="Times New Roman" w:hAnsi="Times New Roman" w:eastAsia="宋体"/>
          <w:b w:val="0"/>
          <w:color w:val="1F2937"/>
          <w:sz w:val="21"/>
        </w:rPr>
        <w:t>。典型的人工改写有三处：把“引用”从回答结果的字段提升为独立类；把“文档—文档版本”定为组合而非普通关联；把“索引”从文档属性改为独立对象。这三处 AI 的初稿都没有给出，是人根据“引用要能独立失效、版本要能承载溯源、索引失败要能降级”三条业务理由补上的。</w:t>
      </w:r>
    </w:p>
    <w:p>
      <w:pPr>
        <w:pStyle w:val="Heading2"/>
        <w:keepNext/>
        <w:spacing w:line="300" w:lineRule="auto" w:before="180" w:after="80"/>
      </w:pPr>
      <w:r>
        <w:rPr>
          <w:rFonts w:ascii="Times New Roman" w:hAnsi="Times New Roman" w:eastAsia="黑体"/>
          <w:b/>
          <w:color w:val="1F2937"/>
          <w:sz w:val="23"/>
        </w:rPr>
        <w:t>3.3　三张关键时序图</w:t>
      </w:r>
    </w:p>
    <w:p>
      <w:pPr>
        <w:spacing w:before="0" w:after="60" w:line="336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三张图由三位组员分别负责，AI 参与方式是</w:t>
      </w:r>
      <w:r>
        <w:rPr>
          <w:rFonts w:ascii="Times New Roman" w:hAnsi="Times New Roman" w:eastAsia="宋体"/>
          <w:b/>
          <w:color w:val="1F2937"/>
          <w:sz w:val="21"/>
        </w:rPr>
        <w:t>起草消息序列 + 补异常分支</w:t>
      </w:r>
      <w:r>
        <w:rPr>
          <w:rFonts w:ascii="Times New Roman" w:hAnsi="Times New Roman" w:eastAsia="宋体"/>
          <w:b w:val="0"/>
          <w:color w:val="1F2937"/>
          <w:sz w:val="21"/>
        </w:rPr>
        <w:t>。人工控制的关键点：一是消息顺序必须与各自流程脚本的 M 编号对应；二是只保留会改变业务结论的分支；三是界面/控制器只出现在图上、不进对象清单。每条图的“结束标志”都由组员自己写定，AI 只负责把措辞理顺。</w:t>
      </w:r>
    </w:p>
    <w:p>
      <w:pPr>
        <w:pStyle w:val="Heading2"/>
        <w:keepNext/>
        <w:spacing w:line="300" w:lineRule="auto" w:before="180" w:after="80"/>
      </w:pPr>
      <w:r>
        <w:rPr>
          <w:rFonts w:ascii="Times New Roman" w:hAnsi="Times New Roman" w:eastAsia="黑体"/>
          <w:b/>
          <w:color w:val="1F2937"/>
          <w:sz w:val="23"/>
        </w:rPr>
        <w:t>3.4　模型一致性检查</w:t>
      </w:r>
    </w:p>
    <w:p>
      <w:pPr>
        <w:spacing w:before="0" w:after="60" w:line="336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这是 AI 相对发挥稳定的一环：机械比对 24 个对象在四张图里的出现情况，比人工逐格核对更不易漏。但</w:t>
      </w:r>
      <w:r>
        <w:rPr>
          <w:rFonts w:ascii="Times New Roman" w:hAnsi="Times New Roman" w:eastAsia="宋体"/>
          <w:b/>
          <w:color w:val="1F2937"/>
          <w:sz w:val="21"/>
        </w:rPr>
        <w:t>“出现了没有”可以机械判断，“算不算一致”必须人来定</w:t>
      </w:r>
      <w:r>
        <w:rPr>
          <w:rFonts w:ascii="Times New Roman" w:hAnsi="Times New Roman" w:eastAsia="宋体"/>
          <w:b w:val="0"/>
          <w:color w:val="1F2937"/>
          <w:sz w:val="21"/>
        </w:rPr>
        <w:t>。例如第二轮把“文档集合在检索图中标为 ● ”下调为“○ 被提及但未单列生命线”，就是人看定稿图后作出的判断，AI 最初按“文中提到即算出现”处理，属于误判。</w:t>
      </w:r>
    </w:p>
    <w:p>
      <w:pPr>
        <w:pStyle w:val="Heading2"/>
        <w:keepNext/>
        <w:spacing w:line="300" w:lineRule="auto" w:before="180" w:after="80"/>
      </w:pPr>
      <w:r>
        <w:rPr>
          <w:rFonts w:ascii="Times New Roman" w:hAnsi="Times New Roman" w:eastAsia="黑体"/>
          <w:b/>
          <w:color w:val="1F2937"/>
          <w:sz w:val="23"/>
        </w:rPr>
        <w:t>3.5　报告与 PPT</w:t>
      </w:r>
    </w:p>
    <w:p>
      <w:pPr>
        <w:spacing w:before="0" w:after="60" w:line="336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报告与 PPT 按组长给定的《报告章节与图件对照骨架 v0.1》填充，AI 负责成文与排版，人工负责</w:t>
      </w:r>
      <w:r>
        <w:rPr>
          <w:rFonts w:ascii="Times New Roman" w:hAnsi="Times New Roman" w:eastAsia="宋体"/>
          <w:b/>
          <w:color w:val="1F2937"/>
          <w:sz w:val="21"/>
        </w:rPr>
        <w:t>核对四件事</w:t>
      </w:r>
      <w:r>
        <w:rPr>
          <w:rFonts w:ascii="Times New Roman" w:hAnsi="Times New Roman" w:eastAsia="宋体"/>
          <w:b w:val="0"/>
          <w:color w:val="1F2937"/>
          <w:sz w:val="21"/>
        </w:rPr>
        <w:t>：数字（24 / 21 / 3 / 9）、图号（图 1–图 4、表 1–表 2）、术语（与对象清单同名）、以及“不越界写数据库/接口/部署”。这四项已逐项自检，见 §七。</w:t>
      </w:r>
    </w:p>
    <w:p>
      <w:pPr>
        <w:pStyle w:val="Heading1"/>
        <w:keepNext/>
        <w:spacing w:line="300" w:lineRule="auto" w:before="280" w:after="120"/>
      </w:pPr>
      <w:r>
        <w:rPr>
          <w:rFonts w:ascii="Times New Roman" w:hAnsi="Times New Roman" w:eastAsia="黑体"/>
          <w:b/>
          <w:color w:val="1F4E78"/>
          <w:sz w:val="28"/>
        </w:rPr>
        <w:t>四、AI 未参与的部分</w:t>
      </w:r>
    </w:p>
    <w:p>
      <w:pPr>
        <w:spacing w:before="0" w:after="50" w:line="331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用户访谈与证据整理</w:t>
      </w:r>
      <w:r>
        <w:rPr>
          <w:rFonts w:ascii="Times New Roman" w:hAnsi="Times New Roman" w:eastAsia="宋体"/>
          <w:b w:val="0"/>
          <w:color w:val="1F2937"/>
          <w:sz w:val="21"/>
        </w:rPr>
        <w:t>：访谈提纲设计、访谈执行、记录整理与证据编号均人工完成，不得由 AI 生成或推断受访者观点。</w:t>
      </w:r>
    </w:p>
    <w:p>
      <w:pPr>
        <w:spacing w:before="0" w:after="50" w:line="331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业务边界的最终裁决</w:t>
      </w:r>
      <w:r>
        <w:rPr>
          <w:rFonts w:ascii="Times New Roman" w:hAnsi="Times New Roman" w:eastAsia="宋体"/>
          <w:b w:val="0"/>
          <w:color w:val="1F2937"/>
          <w:sz w:val="21"/>
        </w:rPr>
        <w:t>：本阶段分析哪些对象、不分析哪些、“门户”指什么，由组长拍板并写进《01-业务对象清单》。</w:t>
      </w:r>
    </w:p>
    <w:p>
      <w:pPr>
        <w:spacing w:before="0" w:after="50" w:line="331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类图结构拍板与答辩口径</w:t>
      </w:r>
      <w:r>
        <w:rPr>
          <w:rFonts w:ascii="Times New Roman" w:hAnsi="Times New Roman" w:eastAsia="宋体"/>
          <w:b w:val="0"/>
          <w:color w:val="1F2937"/>
          <w:sz w:val="21"/>
        </w:rPr>
        <w:t>：五条关系主线怎么讲、被追问时怎么答，由组长确定（见《讲稿与问答预案 v0.1》）。</w:t>
      </w:r>
    </w:p>
    <w:p>
      <w:pPr>
        <w:spacing w:before="0" w:after="50" w:line="331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上游材料的既有结论</w:t>
      </w:r>
      <w:r>
        <w:rPr>
          <w:rFonts w:ascii="Times New Roman" w:hAnsi="Times New Roman" w:eastAsia="宋体"/>
          <w:b w:val="0"/>
          <w:color w:val="1F2937"/>
          <w:sz w:val="21"/>
        </w:rPr>
        <w:t>：需求调研与需求建模 V0.3 的结论不做 AI 改写，引用时标注来源。</w:t>
      </w:r>
    </w:p>
    <w:p>
      <w:pPr>
        <w:pStyle w:val="Heading1"/>
        <w:keepNext/>
        <w:spacing w:line="300" w:lineRule="auto" w:before="280" w:after="120"/>
      </w:pPr>
      <w:r>
        <w:rPr>
          <w:rFonts w:ascii="Times New Roman" w:hAnsi="Times New Roman" w:eastAsia="黑体"/>
          <w:b/>
          <w:color w:val="1F4E78"/>
          <w:sz w:val="28"/>
        </w:rPr>
        <w:t>五、人工裁决与修正记录（本轮实例）</w:t>
      </w:r>
    </w:p>
    <w:p>
      <w:pPr>
        <w:spacing w:before="0" w:after="60" w:line="336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为说明人机边界，记录 4 处“AI 提出、人工否决或修正”的实际案例：</w:t>
        <w:br w:type="page"/>
      </w:r>
    </w:p>
    <w:p>
      <w:pPr>
        <w:keepNext/>
        <w:spacing w:before="80" w:after="60"/>
        <w:jc w:val="center"/>
      </w:pPr>
      <w:r>
        <w:rPr>
          <w:rFonts w:ascii="Times New Roman" w:hAnsi="Times New Roman" w:eastAsia="宋体"/>
          <w:b/>
          <w:color w:val="1F2937"/>
          <w:sz w:val="18"/>
        </w:rPr>
        <w:t>表 2　本轮 AI 建议与人工裁决对照</w:t>
      </w:r>
    </w:p>
    <w:tbl>
      <w:tblPr>
        <w:tblW w:type="dxa" w:w="9071"/>
        <w:jc w:val="center"/>
        <w:tblBorders>
          <w:top w:val="single" w:sz="12" w:space="0" w:color="1F4E78"/>
          <w:left w:val="none" w:sz="0" w:space="0" w:color="auto"/>
          <w:bottom w:val="single" w:sz="12" w:space="0" w:color="1F4E78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34" w:type="dxa"/>
          <w:left w:w="68" w:type="dxa"/>
          <w:bottom w:w="34" w:type="dxa"/>
          <w:right w:w="68" w:type="dxa"/>
        </w:tblCellMar>
        <w:tblLook w:firstColumn="1" w:firstRow="1" w:lastColumn="0" w:lastRow="0" w:noHBand="0" w:noVBand="1" w:val="04A0"/>
      </w:tblPr>
      <w:tblGrid>
        <w:gridCol w:w="454"/>
        <w:gridCol w:w="2041"/>
        <w:gridCol w:w="2381"/>
        <w:gridCol w:w="2494"/>
        <w:gridCol w:w="1701"/>
      </w:tblGrid>
      <w:tr>
        <w:trPr>
          <w:tblHeader/>
          <w:cantSplit/>
        </w:trPr>
        <w:tc>
          <w:tcPr>
            <w:tcW w:type="dxa" w:w="454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#</w:t>
            </w:r>
          </w:p>
        </w:tc>
        <w:tc>
          <w:tcPr>
            <w:tcW w:type="dxa" w:w="2041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事项</w:t>
            </w:r>
          </w:p>
        </w:tc>
        <w:tc>
          <w:tcPr>
            <w:tcW w:type="dxa" w:w="2381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AI 的初步建议</w:t>
            </w:r>
          </w:p>
        </w:tc>
        <w:tc>
          <w:tcPr>
            <w:tcW w:type="dxa" w:w="2494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人工裁决</w:t>
            </w:r>
          </w:p>
        </w:tc>
        <w:tc>
          <w:tcPr>
            <w:tcW w:type="dxa" w:w="1701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依据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204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解析任务、索引任务是否入类图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按对象清单“进类图=是”，但在类图初稿中放入 legend 的“刻意不纳入”</w:t>
            </w:r>
          </w:p>
        </w:tc>
        <w:tc>
          <w:tcPr>
            <w:tcW w:type="dxa" w:w="249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否决：纳入 v0.2 主图，并新增“采集与索引簇”承载</w:t>
            </w:r>
          </w:p>
        </w:tc>
        <w:tc>
          <w:tcPr>
            <w:tcW w:type="dxa" w:w="170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这两个类是《数据采集入库时序图》的主对象，缺它们就出现“时序图有、类图没有”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204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“文档集合”的检索范围表达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建议在检索图中单列文档集合生命线</w:t>
            </w:r>
          </w:p>
        </w:tc>
        <w:tc>
          <w:tcPr>
            <w:tcW w:type="dxa" w:w="249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修改：只在起始消息与图例中提及，不单列生命线</w:t>
            </w:r>
          </w:p>
        </w:tc>
        <w:tc>
          <w:tcPr>
            <w:tcW w:type="dxa" w:w="170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单文档问答不需要构造文档集合（对应 R-04 多重度 0..1）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204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文档集合、通知、文档与笔记的出现强度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按“文中提到即算出现”，标为 ●</w:t>
            </w:r>
          </w:p>
        </w:tc>
        <w:tc>
          <w:tcPr>
            <w:tcW w:type="dxa" w:w="249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下调：文档集合/检索请求改为 ○，通知、文档、笔记改为 —</w:t>
            </w:r>
          </w:p>
        </w:tc>
        <w:tc>
          <w:tcPr>
            <w:tcW w:type="dxa" w:w="170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以定稿图面为准，避免出现“标注说有、图上没有”的不一致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204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同一别名跨图复用</w:t>
            </w:r>
          </w:p>
        </w:tc>
        <w:tc>
          <w:tcPr>
            <w:tcW w:type="dxa" w:w="238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沿用初稿的 UI 别名</w:t>
            </w:r>
          </w:p>
        </w:tc>
        <w:tc>
          <w:tcPr>
            <w:tcW w:type="dxa" w:w="249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否决：拆为 ClientUI 与 SearchUI</w:t>
            </w:r>
          </w:p>
        </w:tc>
        <w:tc>
          <w:tcPr>
            <w:tcW w:type="dxa" w:w="170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同一别名不得指向两个不同对象（一致性检查表 §5.2）</w:t>
            </w:r>
          </w:p>
        </w:tc>
      </w:tr>
    </w:tbl>
    <w:p>
      <w:pPr>
        <w:pStyle w:val="Heading1"/>
        <w:keepNext/>
        <w:spacing w:line="300" w:lineRule="auto" w:before="280" w:after="120"/>
      </w:pPr>
      <w:r>
        <w:rPr>
          <w:rFonts w:ascii="Times New Roman" w:hAnsi="Times New Roman" w:eastAsia="黑体"/>
          <w:b/>
          <w:color w:val="1F4E78"/>
          <w:sz w:val="28"/>
        </w:rPr>
        <w:t>六、数据与合规</w:t>
      </w:r>
    </w:p>
    <w:p>
      <w:pPr>
        <w:spacing w:before="0" w:after="50" w:line="331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输入范围</w:t>
      </w:r>
      <w:r>
        <w:rPr>
          <w:rFonts w:ascii="Times New Roman" w:hAnsi="Times New Roman" w:eastAsia="宋体"/>
          <w:b w:val="0"/>
          <w:color w:val="1F2937"/>
          <w:sz w:val="21"/>
        </w:rPr>
        <w:t>：提交给 AI 的材料仅为团队自制的建模文档、图件源码与已公开的仓库材料，</w:t>
      </w:r>
      <w:r>
        <w:rPr>
          <w:rFonts w:ascii="Times New Roman" w:hAnsi="Times New Roman" w:eastAsia="宋体"/>
          <w:b/>
          <w:color w:val="1F2937"/>
          <w:sz w:val="21"/>
        </w:rPr>
        <w:t>不含</w:t>
      </w:r>
      <w:r>
        <w:rPr>
          <w:rFonts w:ascii="Times New Roman" w:hAnsi="Times New Roman" w:eastAsia="宋体"/>
          <w:b w:val="0"/>
          <w:color w:val="1F2937"/>
          <w:sz w:val="21"/>
        </w:rPr>
        <w:t>个人身份信息、访谈录音/记录原件与未授权的样本原文。</w:t>
      </w:r>
    </w:p>
    <w:p>
      <w:pPr>
        <w:spacing w:before="0" w:after="50" w:line="331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仓库可见性</w:t>
      </w:r>
      <w:r>
        <w:rPr>
          <w:rFonts w:ascii="Times New Roman" w:hAnsi="Times New Roman" w:eastAsia="宋体"/>
          <w:b w:val="0"/>
          <w:color w:val="1F2937"/>
          <w:sz w:val="21"/>
        </w:rPr>
        <w:t>：2 组仓库为 Public，按《2组Git协作规范》禁止入库的内容（录音、个人信息、未授权样本、压缩包）一律不入库，也不作为 AI 输入。</w:t>
      </w:r>
    </w:p>
    <w:p>
      <w:pPr>
        <w:spacing w:before="0" w:after="50" w:line="331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引用与来源</w:t>
      </w:r>
      <w:r>
        <w:rPr>
          <w:rFonts w:ascii="Times New Roman" w:hAnsi="Times New Roman" w:eastAsia="宋体"/>
          <w:b w:val="0"/>
          <w:color w:val="1F2937"/>
          <w:sz w:val="21"/>
        </w:rPr>
        <w:t>：引用前期材料时标注来源与提交号；不以 AI 生成替代原始调研证据。</w:t>
      </w:r>
    </w:p>
    <w:p>
      <w:pPr>
        <w:spacing w:before="0" w:after="50" w:line="331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可复核性</w:t>
      </w:r>
      <w:r>
        <w:rPr>
          <w:rFonts w:ascii="Times New Roman" w:hAnsi="Times New Roman" w:eastAsia="宋体"/>
          <w:b w:val="0"/>
          <w:color w:val="1F2937"/>
          <w:sz w:val="21"/>
        </w:rPr>
        <w:t>：所有结论都能指回仓库内的具体文件（对象清单、流程图、时序图源码），便于教师抽查。</w:t>
      </w:r>
    </w:p>
    <w:p>
      <w:pPr>
        <w:pStyle w:val="Heading1"/>
        <w:keepNext/>
        <w:spacing w:line="300" w:lineRule="auto" w:before="280" w:after="120"/>
      </w:pPr>
      <w:r>
        <w:rPr>
          <w:rFonts w:ascii="Times New Roman" w:hAnsi="Times New Roman" w:eastAsia="黑体"/>
          <w:b/>
          <w:color w:val="1F4E78"/>
          <w:sz w:val="28"/>
        </w:rPr>
        <w:t>七、提交前人工确认清单（由汪昊执行）</w:t>
      </w:r>
    </w:p>
    <w:p>
      <w:pPr>
        <w:spacing w:before="0" w:after="60" w:line="336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本声明与报告、PPT 同批提交前，必须完成下列人工核对；未完成则本声明的有效性不成立：</w:t>
      </w:r>
    </w:p>
    <w:p>
      <w:pPr>
        <w:spacing w:before="0" w:after="50" w:line="331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0"/>
        </w:rPr>
        <w:t xml:space="preserve">▪ </w:t>
      </w:r>
      <w:r>
        <w:rPr>
          <w:rFonts w:ascii="Times New Roman" w:hAnsi="Times New Roman" w:eastAsia="宋体"/>
          <w:b w:val="0"/>
          <w:color w:val="1F2937"/>
          <w:sz w:val="20"/>
        </w:rPr>
        <w:t>☐　第 1 项：报告中 24 / 21 / 3 / 9 四个数字与对象清单、类图、一致性检查表一致。</w:t>
      </w:r>
    </w:p>
    <w:p>
      <w:pPr>
        <w:spacing w:before="0" w:after="50" w:line="331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0"/>
        </w:rPr>
        <w:t xml:space="preserve">▪ </w:t>
      </w:r>
      <w:r>
        <w:rPr>
          <w:rFonts w:ascii="Times New Roman" w:hAnsi="Times New Roman" w:eastAsia="宋体"/>
          <w:b w:val="0"/>
          <w:color w:val="1F2937"/>
          <w:sz w:val="20"/>
        </w:rPr>
        <w:t>☐　第 2 项：图号（图 1–图 4）与表号（表 1–表 2）在报告与 PPT 中完全一致，没有另起编号。</w:t>
      </w:r>
    </w:p>
    <w:p>
      <w:pPr>
        <w:spacing w:before="0" w:after="50" w:line="331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0"/>
        </w:rPr>
        <w:t xml:space="preserve">▪ </w:t>
      </w:r>
      <w:r>
        <w:rPr>
          <w:rFonts w:ascii="Times New Roman" w:hAnsi="Times New Roman" w:eastAsia="宋体"/>
          <w:b w:val="0"/>
          <w:color w:val="1F2937"/>
          <w:sz w:val="20"/>
        </w:rPr>
        <w:t>☐　第 3 项：全文项目名统一为“智能笔记助手”，未把项目写成调研阶段的旧题名或功能域描述。</w:t>
      </w:r>
    </w:p>
    <w:p>
      <w:pPr>
        <w:spacing w:before="0" w:after="50" w:line="331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0"/>
        </w:rPr>
        <w:t xml:space="preserve">▪ </w:t>
      </w:r>
      <w:r>
        <w:rPr>
          <w:rFonts w:ascii="Times New Roman" w:hAnsi="Times New Roman" w:eastAsia="宋体"/>
          <w:b w:val="0"/>
          <w:color w:val="1F2937"/>
          <w:sz w:val="20"/>
        </w:rPr>
        <w:t>☐　第 4 项：表 1 的 BO 编号与《01-业务对象清单 v0.1》逐条对应（BO-01 ～ BO-24），未擅自重排。</w:t>
      </w:r>
    </w:p>
    <w:p>
      <w:pPr>
        <w:spacing w:before="0" w:after="50" w:line="331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0"/>
        </w:rPr>
        <w:t xml:space="preserve">▪ </w:t>
      </w:r>
      <w:r>
        <w:rPr>
          <w:rFonts w:ascii="Times New Roman" w:hAnsi="Times New Roman" w:eastAsia="宋体"/>
          <w:b w:val="0"/>
          <w:color w:val="1F2937"/>
          <w:sz w:val="20"/>
        </w:rPr>
        <w:t>☐　第 5 项：图 2–图 4 使用的均为 v0.2 定稿，未混入 v0.1。</w:t>
      </w:r>
    </w:p>
    <w:p>
      <w:pPr>
        <w:spacing w:before="0" w:after="50" w:line="331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0"/>
        </w:rPr>
        <w:t xml:space="preserve">▪ </w:t>
      </w:r>
      <w:r>
        <w:rPr>
          <w:rFonts w:ascii="Times New Roman" w:hAnsi="Times New Roman" w:eastAsia="宋体"/>
          <w:b w:val="0"/>
          <w:color w:val="1F2937"/>
          <w:sz w:val="20"/>
        </w:rPr>
        <w:t>☐　第 6 项：报告与 PPT 未越界写数据库表结构、接口协议、部署架构。</w:t>
      </w:r>
    </w:p>
    <w:p>
      <w:pPr>
        <w:spacing w:before="0" w:after="50" w:line="331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0"/>
        </w:rPr>
        <w:t xml:space="preserve">▪ </w:t>
      </w:r>
      <w:r>
        <w:rPr>
          <w:rFonts w:ascii="Times New Roman" w:hAnsi="Times New Roman" w:eastAsia="宋体"/>
          <w:b w:val="0"/>
          <w:color w:val="1F2937"/>
          <w:sz w:val="20"/>
        </w:rPr>
        <w:t>☐　第 7 项：本声明 §三、§五 所述事实（谁做了什么）与组内实际情况一致，如有出入以实际为准并修改。</w:t>
      </w:r>
    </w:p>
    <w:p>
      <w:pPr>
        <w:pStyle w:val="Heading1"/>
        <w:keepNext/>
        <w:spacing w:line="300" w:lineRule="auto" w:before="280" w:after="120"/>
      </w:pPr>
      <w:r>
        <w:rPr>
          <w:rFonts w:ascii="Times New Roman" w:hAnsi="Times New Roman" w:eastAsia="黑体"/>
          <w:b/>
          <w:color w:val="1F4E78"/>
          <w:sz w:val="28"/>
        </w:rPr>
        <w:t>八、责任声明</w:t>
      </w:r>
    </w:p>
    <w:p>
      <w:pPr>
        <w:spacing w:before="0" w:after="60" w:line="336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本阶段交付的《01-需求分析报告》《核心业务类图》《三张关键时序图》与《06-汇报PPT》均经组员审阅，AI 生成内容已经人工验证；凡未经人工确认的 AI 输出，均未进入交付物。如后续评审发现与本声明不符之处，本组接受按课程 AI 使用政策处理，并及时更正。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宋体"/>
          <w:b/>
          <w:color w:val="1F2937"/>
          <w:sz w:val="18"/>
        </w:rPr>
        <w:t>表 3　组员确认</w:t>
      </w:r>
    </w:p>
    <w:tbl>
      <w:tblPr>
        <w:tblW w:type="dxa" w:w="9071"/>
        <w:jc w:val="center"/>
        <w:tblBorders>
          <w:top w:val="single" w:sz="12" w:space="0" w:color="1F4E78"/>
          <w:left w:val="none" w:sz="0" w:space="0" w:color="auto"/>
          <w:bottom w:val="single" w:sz="12" w:space="0" w:color="1F4E78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34" w:type="dxa"/>
          <w:left w:w="68" w:type="dxa"/>
          <w:bottom w:w="34" w:type="dxa"/>
          <w:right w:w="68" w:type="dxa"/>
        </w:tblCellMar>
        <w:tblLook w:firstColumn="1" w:firstRow="1" w:lastColumn="0" w:lastRow="0" w:noHBand="0" w:noVBand="1" w:val="04A0"/>
      </w:tblPr>
      <w:tblGrid>
        <w:gridCol w:w="1474"/>
        <w:gridCol w:w="1928"/>
        <w:gridCol w:w="4535"/>
        <w:gridCol w:w="1134"/>
      </w:tblGrid>
      <w:tr>
        <w:trPr>
          <w:tblHeader/>
          <w:cantSplit/>
        </w:trPr>
        <w:tc>
          <w:tcPr>
            <w:tcW w:type="dxa" w:w="1474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8"/>
              </w:rPr>
              <w:t>成员</w:t>
            </w:r>
          </w:p>
        </w:tc>
        <w:tc>
          <w:tcPr>
            <w:tcW w:type="dxa" w:w="1928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8"/>
              </w:rPr>
              <w:t>本阶段分工</w:t>
            </w:r>
          </w:p>
        </w:tc>
        <w:tc>
          <w:tcPr>
            <w:tcW w:type="dxa" w:w="4535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8"/>
              </w:rPr>
              <w:t>确认内容</w:t>
            </w:r>
          </w:p>
        </w:tc>
        <w:tc>
          <w:tcPr>
            <w:tcW w:type="dxa" w:w="1134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8"/>
              </w:rPr>
              <w:t>日期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7"/>
              </w:rPr>
              <w:t>郭谦（组长）</w:t>
            </w:r>
          </w:p>
        </w:tc>
        <w:tc>
          <w:tcPr>
            <w:tcW w:type="dxa" w:w="192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7"/>
              </w:rPr>
              <w:t>W1–W4、W9、W13</w:t>
            </w:r>
          </w:p>
        </w:tc>
        <w:tc>
          <w:tcPr>
            <w:tcW w:type="dxa" w:w="453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7"/>
              </w:rPr>
              <w:t>对象清单、类图结构与口径、一致性检查结论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7"/>
              </w:rPr>
              <w:t>2026-10-27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7"/>
              </w:rPr>
              <w:t>程禹轩</w:t>
            </w:r>
          </w:p>
        </w:tc>
        <w:tc>
          <w:tcPr>
            <w:tcW w:type="dxa" w:w="192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7"/>
              </w:rPr>
              <w:t>W5 + 图 2</w:t>
            </w:r>
          </w:p>
        </w:tc>
        <w:tc>
          <w:tcPr>
            <w:tcW w:type="dxa" w:w="453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7"/>
              </w:rPr>
              <w:t>数据采集入库流程脚本与时序图的业务顺序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7"/>
              </w:rPr>
              <w:t>2026-10-27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7"/>
              </w:rPr>
              <w:t>朱紫轩</w:t>
            </w:r>
          </w:p>
        </w:tc>
        <w:tc>
          <w:tcPr>
            <w:tcW w:type="dxa" w:w="192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7"/>
              </w:rPr>
              <w:t>W6 + 图 3</w:t>
            </w:r>
          </w:p>
        </w:tc>
        <w:tc>
          <w:tcPr>
            <w:tcW w:type="dxa" w:w="453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7"/>
              </w:rPr>
              <w:t>门户认领审核流程脚本与时序图的业务顺序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7"/>
              </w:rPr>
              <w:t>2026-10-27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7"/>
              </w:rPr>
              <w:t>廖欣豪</w:t>
            </w:r>
          </w:p>
        </w:tc>
        <w:tc>
          <w:tcPr>
            <w:tcW w:type="dxa" w:w="192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7"/>
              </w:rPr>
              <w:t>W7 + 图 4</w:t>
            </w:r>
          </w:p>
        </w:tc>
        <w:tc>
          <w:tcPr>
            <w:tcW w:type="dxa" w:w="453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7"/>
              </w:rPr>
              <w:t>检索请求处理流程脚本与时序图的业务顺序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7"/>
              </w:rPr>
              <w:t>2026-10-27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7"/>
              </w:rPr>
              <w:t>汪昊</w:t>
            </w:r>
          </w:p>
        </w:tc>
        <w:tc>
          <w:tcPr>
            <w:tcW w:type="dxa" w:w="192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7"/>
              </w:rPr>
              <w:t>W10–W12</w:t>
            </w:r>
          </w:p>
        </w:tc>
        <w:tc>
          <w:tcPr>
            <w:tcW w:type="dxa" w:w="453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7"/>
              </w:rPr>
              <w:t>报告 / PPT / 本声明的事实与格式核对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7"/>
              </w:rPr>
              <w:t>2026-10-27</w:t>
            </w:r>
          </w:p>
        </w:tc>
      </w:tr>
    </w:tbl>
    <w:p>
      <w:pPr>
        <w:spacing w:before="28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— 第 2 组　2026-10-27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389" w:bottom="1219" w:left="13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spacing w:before="0" w:after="0"/>
    </w:pPr>
    <w:r/>
    <w:r>
      <w:rPr>
        <w:rFonts w:ascii="Times New Roman" w:hAnsi="Times New Roman" w:eastAsia="宋体"/>
        <w:b w:val="0"/>
        <w:color w:val="595959"/>
        <w:sz w:val="17"/>
      </w:rPr>
      <w:t>第 2 组 ｜ 智能笔记助手 ｜ 2026-10-27</w:t>
    </w:r>
    <w:r>
      <w:rPr>
        <w:rFonts w:ascii="Times New Roman" w:hAnsi="Times New Roman" w:eastAsia="宋体"/>
        <w:b w:val="0"/>
        <w:color w:val="595959"/>
        <w:sz w:val="17"/>
      </w:rPr>
      <w:tab/>
      <w:t xml:space="preserve">第 </w:t>
    </w:r>
    <w:fldSimple w:instr="PAGE">
      <w:r>
        <w:rPr>
          <w:sz w:val="17"/>
        </w:rPr>
        <w:t>1</w:t>
      </w:r>
    </w:fldSimple>
    <w:r>
      <w:rPr>
        <w:rFonts w:ascii="Times New Roman" w:hAnsi="Times New Roman" w:eastAsia="宋体"/>
        <w:b w:val="0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  <w:pBdr>
        <w:bottom w:val="single" w:sz="4" w:space="2" w:color="BFBFBF"/>
      </w:pBdr>
    </w:pPr>
    <w:r/>
    <w:r>
      <w:rPr>
        <w:rFonts w:ascii="Times New Roman" w:hAnsi="Times New Roman" w:eastAsia="宋体"/>
        <w:b w:val="0"/>
        <w:color w:val="595959"/>
        <w:sz w:val="17"/>
      </w:rPr>
      <w:t>智能笔记助手 · 需求分析 · AI 使用声明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