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BC04A">
      <w:pPr>
        <w:widowControl/>
        <w:kinsoku w:val="0"/>
        <w:autoSpaceDE w:val="0"/>
        <w:autoSpaceDN w:val="0"/>
        <w:adjustRightInd w:val="0"/>
        <w:snapToGrid w:val="0"/>
        <w:spacing w:before="70" w:line="1795" w:lineRule="exact"/>
        <w:ind w:firstLine="344" w:firstLineChars="0"/>
        <w:jc w:val="left"/>
        <w:textAlignment w:val="baseline"/>
        <w:outlineLvl w:val="9"/>
        <w:rPr>
          <w:rFonts w:ascii="Arial" w:hAnsi="Arial" w:eastAsia="Arial" w:cs="Arial"/>
          <w:snapToGrid w:val="0"/>
          <w:color w:val="000000"/>
          <w:kern w:val="0"/>
          <w:szCs w:val="21"/>
          <w:lang w:eastAsia="en-US"/>
        </w:rPr>
      </w:pPr>
      <w:r>
        <w:rPr>
          <w:rFonts w:ascii="Arial" w:hAnsi="Arial" w:eastAsia="Arial" w:cs="Arial"/>
          <w:snapToGrid w:val="0"/>
          <w:color w:val="000000"/>
          <w:kern w:val="0"/>
          <w:position w:val="-35"/>
          <w:szCs w:val="21"/>
          <w:lang w:eastAsia="en-US"/>
        </w:rPr>
        <w:drawing>
          <wp:inline distT="0" distB="0" distL="0" distR="0">
            <wp:extent cx="1139825" cy="1139825"/>
            <wp:effectExtent l="0" t="0" r="3175" b="317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
                    <a:stretch>
                      <a:fillRect/>
                    </a:stretch>
                  </pic:blipFill>
                  <pic:spPr>
                    <a:xfrm>
                      <a:off x="0" y="0"/>
                      <a:ext cx="1139857" cy="1139857"/>
                    </a:xfrm>
                    <a:prstGeom prst="rect">
                      <a:avLst/>
                    </a:prstGeom>
                  </pic:spPr>
                </pic:pic>
              </a:graphicData>
            </a:graphic>
          </wp:inline>
        </w:drawing>
      </w:r>
    </w:p>
    <w:p w14:paraId="04F38B08">
      <w:pPr>
        <w:widowControl/>
        <w:kinsoku w:val="0"/>
        <w:autoSpaceDE w:val="0"/>
        <w:autoSpaceDN w:val="0"/>
        <w:adjustRightInd w:val="0"/>
        <w:snapToGrid w:val="0"/>
        <w:spacing w:line="259" w:lineRule="auto"/>
        <w:jc w:val="left"/>
        <w:textAlignment w:val="baseline"/>
        <w:rPr>
          <w:rFonts w:ascii="Arial" w:hAnsi="Arial" w:eastAsia="Arial" w:cs="Arial"/>
          <w:snapToGrid w:val="0"/>
          <w:color w:val="000000"/>
          <w:kern w:val="0"/>
          <w:sz w:val="21"/>
          <w:szCs w:val="21"/>
          <w:lang w:eastAsia="en-US"/>
        </w:rPr>
      </w:pPr>
    </w:p>
    <w:p w14:paraId="23EF8E91">
      <w:pPr>
        <w:widowControl/>
        <w:kinsoku w:val="0"/>
        <w:autoSpaceDE w:val="0"/>
        <w:autoSpaceDN w:val="0"/>
        <w:adjustRightInd w:val="0"/>
        <w:snapToGrid w:val="0"/>
        <w:spacing w:line="259" w:lineRule="auto"/>
        <w:jc w:val="left"/>
        <w:textAlignment w:val="baseline"/>
        <w:rPr>
          <w:rFonts w:ascii="Arial" w:hAnsi="Arial" w:eastAsia="Arial" w:cs="Arial"/>
          <w:snapToGrid w:val="0"/>
          <w:color w:val="000000"/>
          <w:kern w:val="0"/>
          <w:sz w:val="21"/>
          <w:szCs w:val="21"/>
          <w:lang w:eastAsia="en-US"/>
        </w:rPr>
      </w:pPr>
    </w:p>
    <w:p w14:paraId="2D43DEA8">
      <w:pPr>
        <w:widowControl/>
        <w:kinsoku w:val="0"/>
        <w:autoSpaceDE w:val="0"/>
        <w:autoSpaceDN w:val="0"/>
        <w:adjustRightInd w:val="0"/>
        <w:snapToGrid w:val="0"/>
        <w:spacing w:line="260" w:lineRule="auto"/>
        <w:jc w:val="left"/>
        <w:textAlignment w:val="baseline"/>
        <w:rPr>
          <w:rFonts w:ascii="Arial" w:hAnsi="Arial" w:eastAsia="Arial" w:cs="Arial"/>
          <w:snapToGrid w:val="0"/>
          <w:color w:val="000000"/>
          <w:kern w:val="0"/>
          <w:sz w:val="21"/>
          <w:szCs w:val="21"/>
          <w:lang w:eastAsia="en-US"/>
        </w:rPr>
      </w:pPr>
    </w:p>
    <w:p w14:paraId="51515FB4">
      <w:pPr>
        <w:widowControl/>
        <w:kinsoku w:val="0"/>
        <w:autoSpaceDE w:val="0"/>
        <w:autoSpaceDN w:val="0"/>
        <w:adjustRightInd w:val="0"/>
        <w:snapToGrid w:val="0"/>
        <w:spacing w:line="260" w:lineRule="auto"/>
        <w:jc w:val="left"/>
        <w:textAlignment w:val="baseline"/>
        <w:rPr>
          <w:rFonts w:ascii="Arial" w:hAnsi="Arial" w:eastAsia="Arial" w:cs="Arial"/>
          <w:snapToGrid w:val="0"/>
          <w:color w:val="000000"/>
          <w:kern w:val="0"/>
          <w:sz w:val="21"/>
          <w:szCs w:val="21"/>
          <w:lang w:eastAsia="en-US"/>
        </w:rPr>
      </w:pPr>
    </w:p>
    <w:p w14:paraId="36FC95CE">
      <w:pPr>
        <w:widowControl/>
        <w:kinsoku w:val="0"/>
        <w:autoSpaceDE w:val="0"/>
        <w:autoSpaceDN w:val="0"/>
        <w:adjustRightInd w:val="0"/>
        <w:snapToGrid w:val="0"/>
        <w:spacing w:line="260" w:lineRule="auto"/>
        <w:jc w:val="left"/>
        <w:textAlignment w:val="baseline"/>
        <w:rPr>
          <w:rFonts w:ascii="Arial" w:hAnsi="Arial" w:eastAsia="Arial" w:cs="Arial"/>
          <w:snapToGrid w:val="0"/>
          <w:color w:val="000000"/>
          <w:kern w:val="0"/>
          <w:sz w:val="21"/>
          <w:szCs w:val="21"/>
          <w:lang w:eastAsia="en-US"/>
        </w:rPr>
      </w:pPr>
    </w:p>
    <w:p w14:paraId="256819B7">
      <w:pPr>
        <w:widowControl/>
        <w:kinsoku w:val="0"/>
        <w:autoSpaceDE w:val="0"/>
        <w:autoSpaceDN w:val="0"/>
        <w:adjustRightInd w:val="0"/>
        <w:snapToGrid w:val="0"/>
        <w:spacing w:line="260" w:lineRule="auto"/>
        <w:jc w:val="left"/>
        <w:textAlignment w:val="baseline"/>
        <w:rPr>
          <w:rFonts w:ascii="Arial" w:hAnsi="Arial" w:eastAsia="Arial" w:cs="Arial"/>
          <w:snapToGrid w:val="0"/>
          <w:color w:val="000000"/>
          <w:kern w:val="0"/>
          <w:sz w:val="21"/>
          <w:szCs w:val="21"/>
          <w:lang w:eastAsia="en-US"/>
        </w:rPr>
      </w:pPr>
    </w:p>
    <w:p w14:paraId="5B76DEE9">
      <w:pPr>
        <w:widowControl/>
        <w:kinsoku w:val="0"/>
        <w:autoSpaceDE w:val="0"/>
        <w:autoSpaceDN w:val="0"/>
        <w:adjustRightInd w:val="0"/>
        <w:snapToGrid w:val="0"/>
        <w:spacing w:line="260" w:lineRule="auto"/>
        <w:jc w:val="left"/>
        <w:textAlignment w:val="baseline"/>
        <w:rPr>
          <w:rFonts w:ascii="Arial" w:hAnsi="Arial" w:eastAsia="Arial" w:cs="Arial"/>
          <w:snapToGrid w:val="0"/>
          <w:color w:val="000000"/>
          <w:kern w:val="0"/>
          <w:sz w:val="21"/>
          <w:szCs w:val="21"/>
          <w:lang w:eastAsia="en-US"/>
        </w:rPr>
      </w:pPr>
    </w:p>
    <w:p w14:paraId="5F36804B">
      <w:pPr>
        <w:widowControl/>
        <w:kinsoku w:val="0"/>
        <w:autoSpaceDE w:val="0"/>
        <w:autoSpaceDN w:val="0"/>
        <w:adjustRightInd w:val="0"/>
        <w:snapToGrid w:val="0"/>
        <w:spacing w:line="260" w:lineRule="auto"/>
        <w:jc w:val="left"/>
        <w:textAlignment w:val="baseline"/>
        <w:rPr>
          <w:rFonts w:ascii="Arial" w:hAnsi="Arial" w:eastAsia="Arial" w:cs="Arial"/>
          <w:snapToGrid w:val="0"/>
          <w:color w:val="000000"/>
          <w:kern w:val="0"/>
          <w:sz w:val="21"/>
          <w:szCs w:val="21"/>
          <w:lang w:eastAsia="en-US"/>
        </w:rPr>
      </w:pPr>
    </w:p>
    <w:p w14:paraId="172B45A2">
      <w:pPr>
        <w:widowControl/>
        <w:kinsoku w:val="0"/>
        <w:autoSpaceDE w:val="0"/>
        <w:autoSpaceDN w:val="0"/>
        <w:adjustRightInd w:val="0"/>
        <w:snapToGrid w:val="0"/>
        <w:spacing w:line="1277" w:lineRule="exact"/>
        <w:ind w:firstLine="518"/>
        <w:jc w:val="both"/>
        <w:textAlignment w:val="baseline"/>
        <w:rPr>
          <w:rFonts w:ascii="Arial" w:hAnsi="Arial" w:eastAsia="Arial" w:cs="Arial"/>
          <w:snapToGrid w:val="0"/>
          <w:color w:val="000000"/>
          <w:kern w:val="0"/>
          <w:szCs w:val="21"/>
          <w:lang w:eastAsia="en-US"/>
        </w:rPr>
      </w:pPr>
      <w:r>
        <w:rPr>
          <w:rFonts w:ascii="Arial" w:hAnsi="Arial" w:eastAsia="Arial" w:cs="Arial"/>
          <w:snapToGrid w:val="0"/>
          <w:color w:val="000000"/>
          <w:kern w:val="0"/>
          <w:position w:val="-25"/>
          <w:szCs w:val="21"/>
          <w:lang w:eastAsia="en-US"/>
        </w:rPr>
        <w:drawing>
          <wp:inline distT="0" distB="0" distL="0" distR="0">
            <wp:extent cx="4601845" cy="810260"/>
            <wp:effectExtent l="0" t="0" r="8255" b="254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5"/>
                    <a:stretch>
                      <a:fillRect/>
                    </a:stretch>
                  </pic:blipFill>
                  <pic:spPr>
                    <a:xfrm>
                      <a:off x="0" y="0"/>
                      <a:ext cx="4602099" cy="810700"/>
                    </a:xfrm>
                    <a:prstGeom prst="rect">
                      <a:avLst/>
                    </a:prstGeom>
                  </pic:spPr>
                </pic:pic>
              </a:graphicData>
            </a:graphic>
          </wp:inline>
        </w:drawing>
      </w:r>
    </w:p>
    <w:p w14:paraId="271BD727">
      <w:pPr>
        <w:widowControl/>
        <w:kinsoku w:val="0"/>
        <w:autoSpaceDE w:val="0"/>
        <w:autoSpaceDN w:val="0"/>
        <w:adjustRightInd w:val="0"/>
        <w:snapToGrid w:val="0"/>
        <w:spacing w:line="273" w:lineRule="auto"/>
        <w:jc w:val="left"/>
        <w:textAlignment w:val="baseline"/>
        <w:rPr>
          <w:rFonts w:ascii="Arial" w:hAnsi="Arial" w:eastAsia="Arial" w:cs="Arial"/>
          <w:snapToGrid w:val="0"/>
          <w:color w:val="000000"/>
          <w:kern w:val="0"/>
          <w:sz w:val="21"/>
          <w:szCs w:val="21"/>
          <w:lang w:eastAsia="en-US"/>
        </w:rPr>
      </w:pPr>
    </w:p>
    <w:p w14:paraId="38B8381B">
      <w:pPr>
        <w:widowControl/>
        <w:kinsoku w:val="0"/>
        <w:autoSpaceDE w:val="0"/>
        <w:autoSpaceDN w:val="0"/>
        <w:adjustRightInd w:val="0"/>
        <w:snapToGrid w:val="0"/>
        <w:spacing w:line="273" w:lineRule="auto"/>
        <w:jc w:val="left"/>
        <w:textAlignment w:val="baseline"/>
        <w:rPr>
          <w:rFonts w:ascii="Arial" w:hAnsi="Arial" w:eastAsia="Arial" w:cs="Arial"/>
          <w:snapToGrid w:val="0"/>
          <w:color w:val="000000"/>
          <w:kern w:val="0"/>
          <w:sz w:val="21"/>
          <w:szCs w:val="21"/>
          <w:lang w:eastAsia="en-US"/>
        </w:rPr>
      </w:pPr>
    </w:p>
    <w:p w14:paraId="0BF0EE5F">
      <w:pPr>
        <w:widowControl/>
        <w:kinsoku w:val="0"/>
        <w:autoSpaceDE w:val="0"/>
        <w:autoSpaceDN w:val="0"/>
        <w:adjustRightInd w:val="0"/>
        <w:snapToGrid w:val="0"/>
        <w:spacing w:line="273" w:lineRule="auto"/>
        <w:jc w:val="left"/>
        <w:textAlignment w:val="baseline"/>
        <w:rPr>
          <w:rFonts w:ascii="Arial" w:hAnsi="Arial" w:eastAsia="Arial" w:cs="Arial"/>
          <w:snapToGrid w:val="0"/>
          <w:color w:val="000000"/>
          <w:kern w:val="0"/>
          <w:sz w:val="21"/>
          <w:szCs w:val="21"/>
          <w:lang w:eastAsia="en-US"/>
        </w:rPr>
      </w:pPr>
    </w:p>
    <w:p w14:paraId="34960B85">
      <w:pPr>
        <w:widowControl/>
        <w:kinsoku w:val="0"/>
        <w:autoSpaceDE w:val="0"/>
        <w:autoSpaceDN w:val="0"/>
        <w:adjustRightInd w:val="0"/>
        <w:snapToGrid w:val="0"/>
        <w:spacing w:line="240" w:lineRule="auto"/>
        <w:jc w:val="center"/>
        <w:textAlignment w:val="baseline"/>
        <w:rPr>
          <w:rFonts w:hint="eastAsia" w:ascii="华文中宋" w:hAnsi="华文中宋" w:eastAsia="华文中宋" w:cs="华文中宋"/>
          <w:b/>
          <w:bCs/>
          <w:snapToGrid w:val="0"/>
          <w:color w:val="000000"/>
          <w:kern w:val="0"/>
          <w:sz w:val="44"/>
          <w:szCs w:val="44"/>
          <w:lang w:val="en-US" w:eastAsia="zh-CN" w:bidi="ar-SA"/>
          <w14:textOutline w14:w="3175" w14:cap="flat" w14:cmpd="sng">
            <w14:solidFill>
              <w14:srgbClr w14:val="000000"/>
            </w14:solidFill>
            <w14:prstDash w14:val="solid"/>
            <w14:miter w14:val="0"/>
          </w14:textOutline>
        </w:rPr>
      </w:pPr>
    </w:p>
    <w:p w14:paraId="0F7EE7C8">
      <w:pPr>
        <w:widowControl/>
        <w:kinsoku w:val="0"/>
        <w:autoSpaceDE w:val="0"/>
        <w:autoSpaceDN w:val="0"/>
        <w:adjustRightInd w:val="0"/>
        <w:snapToGrid w:val="0"/>
        <w:spacing w:line="240" w:lineRule="auto"/>
        <w:jc w:val="center"/>
        <w:textAlignment w:val="baseline"/>
        <w:outlineLvl w:val="9"/>
        <w:rPr>
          <w:rFonts w:ascii="Arial" w:hAnsi="Arial" w:eastAsia="Arial" w:cs="Arial"/>
          <w:snapToGrid w:val="0"/>
          <w:color w:val="000000"/>
          <w:kern w:val="0"/>
          <w:sz w:val="31"/>
          <w:szCs w:val="31"/>
          <w:lang w:eastAsia="en-US"/>
          <w14:textOutline w14:w="3175" w14:cap="flat" w14:cmpd="sng">
            <w14:solidFill>
              <w14:srgbClr w14:val="000000"/>
            </w14:solidFill>
            <w14:prstDash w14:val="solid"/>
            <w14:miter w14:val="0"/>
          </w14:textOutline>
        </w:rPr>
      </w:pPr>
      <w:bookmarkStart w:id="0" w:name="_Toc15118"/>
      <w:bookmarkStart w:id="1" w:name="_Toc5023"/>
      <w:r>
        <w:rPr>
          <w:rFonts w:hint="eastAsia" w:ascii="华文中宋" w:hAnsi="华文中宋" w:eastAsia="华文中宋" w:cs="华文中宋"/>
          <w:b/>
          <w:bCs/>
          <w:snapToGrid w:val="0"/>
          <w:color w:val="000000"/>
          <w:kern w:val="0"/>
          <w:sz w:val="44"/>
          <w:szCs w:val="44"/>
          <w:lang w:val="en-US" w:eastAsia="zh-CN" w:bidi="ar-SA"/>
          <w14:textOutline w14:w="3175" w14:cap="flat" w14:cmpd="sng">
            <w14:solidFill>
              <w14:srgbClr w14:val="000000"/>
            </w14:solidFill>
            <w14:prstDash w14:val="solid"/>
            <w14:miter w14:val="0"/>
          </w14:textOutline>
        </w:rPr>
        <w:t>第三十六届“冯如杯”竞赛主赛道论文</w:t>
      </w:r>
      <w:bookmarkEnd w:id="0"/>
      <w:bookmarkEnd w:id="1"/>
    </w:p>
    <w:p w14:paraId="35489EE4">
      <w:pPr>
        <w:kinsoku w:val="0"/>
        <w:autoSpaceDE w:val="0"/>
        <w:autoSpaceDN w:val="0"/>
        <w:adjustRightInd w:val="0"/>
        <w:snapToGrid w:val="0"/>
        <w:spacing w:line="240" w:lineRule="auto"/>
        <w:ind w:left="0" w:leftChars="0"/>
        <w:jc w:val="center"/>
        <w:textAlignment w:val="baseline"/>
        <w:outlineLvl w:val="9"/>
        <w:rPr>
          <w:rFonts w:hint="eastAsia" w:ascii="华文中宋" w:hAnsi="华文中宋" w:eastAsia="华文中宋" w:cs="华文中宋"/>
          <w:b/>
          <w:bCs/>
          <w:snapToGrid w:val="0"/>
          <w:color w:val="000000"/>
          <w:kern w:val="0"/>
          <w:sz w:val="44"/>
          <w:szCs w:val="44"/>
          <w:lang w:val="en-US" w:eastAsia="zh-CN" w:bidi="ar-SA"/>
          <w14:textOutline w14:w="3175" w14:cap="flat" w14:cmpd="sng">
            <w14:solidFill>
              <w14:srgbClr w14:val="000000"/>
            </w14:solidFill>
            <w14:prstDash w14:val="solid"/>
            <w14:miter w14:val="0"/>
          </w14:textOutline>
        </w:rPr>
      </w:pPr>
      <w:bookmarkStart w:id="2" w:name="_Toc1341"/>
      <w:bookmarkStart w:id="3" w:name="_Toc2310"/>
      <w:r>
        <w:rPr>
          <w:rFonts w:hint="eastAsia" w:ascii="华文中宋" w:hAnsi="华文中宋" w:eastAsia="华文中宋" w:cs="华文中宋"/>
          <w:b/>
          <w:bCs/>
          <w:snapToGrid w:val="0"/>
          <w:color w:val="000000"/>
          <w:kern w:val="0"/>
          <w:sz w:val="44"/>
          <w:szCs w:val="44"/>
          <w:lang w:val="en-US" w:eastAsia="zh-CN" w:bidi="ar-SA"/>
          <w14:textOutline w14:w="3175" w14:cap="flat" w14:cmpd="sng">
            <w14:solidFill>
              <w14:srgbClr w14:val="000000"/>
            </w14:solidFill>
            <w14:prstDash w14:val="solid"/>
            <w14:miter w14:val="0"/>
          </w14:textOutline>
        </w:rPr>
        <w:t>智停云：面向智慧城市的分布式智能停车引导系统设计与实现</w:t>
      </w:r>
      <w:bookmarkEnd w:id="2"/>
    </w:p>
    <w:p w14:paraId="040F19A6">
      <w:pPr>
        <w:kinsoku w:val="0"/>
        <w:autoSpaceDE w:val="0"/>
        <w:autoSpaceDN w:val="0"/>
        <w:adjustRightInd w:val="0"/>
        <w:snapToGrid w:val="0"/>
        <w:spacing w:line="240" w:lineRule="auto"/>
        <w:ind w:left="0" w:leftChars="0"/>
        <w:jc w:val="center"/>
        <w:textAlignment w:val="baseline"/>
        <w:outlineLvl w:val="9"/>
        <w:rPr>
          <w:rFonts w:hint="eastAsia" w:ascii="华文中宋" w:hAnsi="华文中宋" w:eastAsia="华文中宋" w:cs="华文中宋"/>
          <w:b/>
          <w:bCs/>
          <w:snapToGrid w:val="0"/>
          <w:color w:val="000000"/>
          <w:kern w:val="0"/>
          <w:sz w:val="24"/>
          <w:szCs w:val="24"/>
          <w:lang w:val="en-US" w:eastAsia="zh-CN" w:bidi="ar-SA"/>
          <w14:textOutline w14:w="3175" w14:cap="flat" w14:cmpd="sng">
            <w14:solidFill>
              <w14:srgbClr w14:val="000000"/>
            </w14:solidFill>
            <w14:prstDash w14:val="solid"/>
            <w14:miter w14:val="0"/>
          </w14:textOutline>
        </w:rPr>
      </w:pPr>
    </w:p>
    <w:p w14:paraId="6DCD4042">
      <w:pPr>
        <w:kinsoku w:val="0"/>
        <w:autoSpaceDE w:val="0"/>
        <w:autoSpaceDN w:val="0"/>
        <w:adjustRightInd w:val="0"/>
        <w:snapToGrid w:val="0"/>
        <w:spacing w:line="240" w:lineRule="auto"/>
        <w:ind w:left="0" w:leftChars="0"/>
        <w:jc w:val="center"/>
        <w:textAlignment w:val="baseline"/>
        <w:outlineLvl w:val="9"/>
        <w:rPr>
          <w:rFonts w:hint="eastAsia" w:ascii="华文中宋" w:hAnsi="华文中宋" w:eastAsia="华文中宋" w:cs="华文中宋"/>
          <w:b/>
          <w:bCs/>
          <w:snapToGrid w:val="0"/>
          <w:color w:val="000000"/>
          <w:kern w:val="0"/>
          <w:sz w:val="24"/>
          <w:szCs w:val="24"/>
          <w:lang w:val="en-US" w:eastAsia="zh-CN" w:bidi="ar-SA"/>
          <w14:textOutline w14:w="3175" w14:cap="flat" w14:cmpd="sng">
            <w14:solidFill>
              <w14:srgbClr w14:val="000000"/>
            </w14:solidFill>
            <w14:prstDash w14:val="solid"/>
            <w14:miter w14:val="0"/>
          </w14:textOutline>
        </w:rPr>
      </w:pPr>
    </w:p>
    <w:p w14:paraId="748B8169">
      <w:pPr>
        <w:kinsoku w:val="0"/>
        <w:autoSpaceDE w:val="0"/>
        <w:autoSpaceDN w:val="0"/>
        <w:adjustRightInd w:val="0"/>
        <w:snapToGrid w:val="0"/>
        <w:spacing w:line="240" w:lineRule="auto"/>
        <w:ind w:left="0" w:leftChars="0"/>
        <w:jc w:val="center"/>
        <w:textAlignment w:val="baseline"/>
        <w:outlineLvl w:val="9"/>
        <w:rPr>
          <w:rFonts w:hint="eastAsia" w:ascii="华文中宋" w:hAnsi="华文中宋" w:eastAsia="华文中宋" w:cs="华文中宋"/>
          <w:b/>
          <w:bCs/>
          <w:snapToGrid w:val="0"/>
          <w:color w:val="000000"/>
          <w:kern w:val="0"/>
          <w:sz w:val="24"/>
          <w:szCs w:val="24"/>
          <w:lang w:val="en-US" w:eastAsia="zh-CN" w:bidi="ar-SA"/>
          <w14:textOutline w14:w="3175" w14:cap="flat" w14:cmpd="sng">
            <w14:solidFill>
              <w14:srgbClr w14:val="000000"/>
            </w14:solidFill>
            <w14:prstDash w14:val="solid"/>
            <w14:miter w14:val="0"/>
          </w14:textOutline>
        </w:rPr>
      </w:pPr>
    </w:p>
    <w:p w14:paraId="0971B626">
      <w:pPr>
        <w:kinsoku w:val="0"/>
        <w:autoSpaceDE w:val="0"/>
        <w:autoSpaceDN w:val="0"/>
        <w:adjustRightInd w:val="0"/>
        <w:snapToGrid w:val="0"/>
        <w:spacing w:line="240" w:lineRule="auto"/>
        <w:ind w:left="0" w:leftChars="0"/>
        <w:jc w:val="center"/>
        <w:textAlignment w:val="baseline"/>
        <w:outlineLvl w:val="9"/>
        <w:rPr>
          <w:rFonts w:hint="eastAsia" w:ascii="华文中宋" w:hAnsi="华文中宋" w:eastAsia="华文中宋" w:cs="华文中宋"/>
          <w:b/>
          <w:bCs/>
          <w:snapToGrid w:val="0"/>
          <w:color w:val="000000"/>
          <w:kern w:val="0"/>
          <w:sz w:val="24"/>
          <w:szCs w:val="24"/>
          <w:lang w:val="en-US" w:eastAsia="zh-CN" w:bidi="ar-SA"/>
          <w14:textOutline w14:w="3175" w14:cap="flat" w14:cmpd="sng">
            <w14:solidFill>
              <w14:srgbClr w14:val="000000"/>
            </w14:solidFill>
            <w14:prstDash w14:val="solid"/>
            <w14:miter w14:val="0"/>
          </w14:textOutline>
        </w:rPr>
      </w:pPr>
    </w:p>
    <w:p w14:paraId="3B8A7BE0">
      <w:pPr>
        <w:kinsoku w:val="0"/>
        <w:autoSpaceDE w:val="0"/>
        <w:autoSpaceDN w:val="0"/>
        <w:adjustRightInd w:val="0"/>
        <w:snapToGrid w:val="0"/>
        <w:spacing w:line="240" w:lineRule="auto"/>
        <w:ind w:left="0" w:leftChars="0"/>
        <w:jc w:val="center"/>
        <w:textAlignment w:val="baseline"/>
        <w:outlineLvl w:val="9"/>
        <w:rPr>
          <w:rFonts w:hint="eastAsia" w:ascii="华文中宋" w:hAnsi="华文中宋" w:eastAsia="华文中宋" w:cs="华文中宋"/>
          <w:b/>
          <w:bCs/>
          <w:snapToGrid w:val="0"/>
          <w:color w:val="000000"/>
          <w:kern w:val="0"/>
          <w:sz w:val="24"/>
          <w:szCs w:val="24"/>
          <w:lang w:val="en-US" w:eastAsia="zh-CN" w:bidi="ar-SA"/>
          <w14:textOutline w14:w="3175" w14:cap="flat" w14:cmpd="sng">
            <w14:solidFill>
              <w14:srgbClr w14:val="000000"/>
            </w14:solidFill>
            <w14:prstDash w14:val="solid"/>
            <w14:miter w14:val="0"/>
          </w14:textOutline>
        </w:rPr>
      </w:pPr>
    </w:p>
    <w:p w14:paraId="49C63DD1">
      <w:pPr>
        <w:kinsoku w:val="0"/>
        <w:autoSpaceDE w:val="0"/>
        <w:autoSpaceDN w:val="0"/>
        <w:adjustRightInd w:val="0"/>
        <w:snapToGrid w:val="0"/>
        <w:spacing w:line="240" w:lineRule="auto"/>
        <w:ind w:left="0" w:leftChars="0"/>
        <w:jc w:val="center"/>
        <w:textAlignment w:val="baseline"/>
        <w:outlineLvl w:val="9"/>
        <w:rPr>
          <w:rFonts w:hint="eastAsia" w:ascii="华文中宋" w:hAnsi="华文中宋" w:eastAsia="华文中宋" w:cs="华文中宋"/>
          <w:b/>
          <w:bCs/>
          <w:snapToGrid w:val="0"/>
          <w:color w:val="000000"/>
          <w:kern w:val="0"/>
          <w:sz w:val="24"/>
          <w:szCs w:val="24"/>
          <w:lang w:val="en-US" w:eastAsia="zh-CN" w:bidi="ar-SA"/>
          <w14:textOutline w14:w="3175" w14:cap="flat" w14:cmpd="sng">
            <w14:solidFill>
              <w14:srgbClr w14:val="000000"/>
            </w14:solidFill>
            <w14:prstDash w14:val="solid"/>
            <w14:miter w14:val="0"/>
          </w14:textOutline>
        </w:rPr>
      </w:pPr>
    </w:p>
    <w:p w14:paraId="77B60129">
      <w:pPr>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outlineLvl w:val="9"/>
        <w:rPr>
          <w:rFonts w:hint="default" w:ascii="华文中宋" w:hAnsi="华文中宋" w:eastAsia="华文中宋" w:cs="华文中宋"/>
          <w:b/>
          <w:bCs/>
          <w:snapToGrid w:val="0"/>
          <w:color w:val="000000"/>
          <w:kern w:val="0"/>
          <w:sz w:val="24"/>
          <w:szCs w:val="24"/>
          <w:lang w:val="en-US" w:eastAsia="zh-CN" w:bidi="ar-SA"/>
          <w14:textOutline w14:w="3175" w14:cap="flat" w14:cmpd="sng">
            <w14:solidFill>
              <w14:srgbClr w14:val="000000"/>
            </w14:solidFill>
            <w14:prstDash w14:val="solid"/>
            <w14:miter w14:val="0"/>
          </w14:textOutline>
        </w:rPr>
      </w:pPr>
      <w:bookmarkStart w:id="4" w:name="_Toc32063"/>
      <w:r>
        <w:rPr>
          <w:rFonts w:hint="eastAsia" w:ascii="华文中宋" w:hAnsi="华文中宋" w:eastAsia="华文中宋" w:cs="华文中宋"/>
          <w:b/>
          <w:bCs/>
          <w:snapToGrid w:val="0"/>
          <w:color w:val="000000"/>
          <w:kern w:val="0"/>
          <w:sz w:val="24"/>
          <w:szCs w:val="24"/>
          <w:lang w:val="en-US" w:eastAsia="zh-CN" w:bidi="ar-SA"/>
          <w14:textOutline w14:w="3175" w14:cap="flat" w14:cmpd="sng">
            <w14:solidFill>
              <w14:srgbClr w14:val="000000"/>
            </w14:solidFill>
            <w14:prstDash w14:val="solid"/>
            <w14:miter w14:val="0"/>
          </w14:textOutline>
        </w:rPr>
        <w:t>2026.03</w:t>
      </w:r>
      <w:bookmarkEnd w:id="3"/>
      <w:bookmarkEnd w:id="4"/>
    </w:p>
    <w:p w14:paraId="3D5B5F11">
      <w:pPr>
        <w:rPr>
          <w:rFonts w:hint="eastAsia"/>
        </w:rPr>
        <w:sectPr>
          <w:pgSz w:w="11906" w:h="16838"/>
          <w:pgMar w:top="1440" w:right="1800" w:bottom="1440" w:left="1800" w:header="851" w:footer="992" w:gutter="0"/>
          <w:cols w:space="425" w:num="1"/>
          <w:docGrid w:type="lines" w:linePitch="312" w:charSpace="0"/>
        </w:sectPr>
      </w:pPr>
    </w:p>
    <w:p w14:paraId="6684B92B">
      <w:pPr>
        <w:pStyle w:val="2"/>
        <w:keepNext/>
        <w:keepLines/>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sz w:val="32"/>
          <w:szCs w:val="32"/>
        </w:rPr>
      </w:pPr>
      <w:bookmarkStart w:id="5" w:name="_Toc24537"/>
      <w:bookmarkStart w:id="6" w:name="_Toc21065"/>
      <w:r>
        <w:rPr>
          <w:rFonts w:hint="eastAsia" w:ascii="黑体" w:hAnsi="黑体" w:eastAsia="黑体" w:cs="黑体"/>
          <w:sz w:val="32"/>
          <w:szCs w:val="32"/>
        </w:rPr>
        <w:t>摘要</w:t>
      </w:r>
      <w:bookmarkEnd w:id="5"/>
      <w:bookmarkEnd w:id="6"/>
    </w:p>
    <w:p w14:paraId="588C56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针对当前城市普遍存在的“停车难”问题，本文设计并实现了一套基于微服务架构的分布式智能停车引导系统——“智停云”。系统采用 </w:t>
      </w:r>
      <w:r>
        <w:rPr>
          <w:rFonts w:hint="default" w:ascii="Times New Roman" w:hAnsi="Times New Roman" w:cs="Times New Roman" w:eastAsiaTheme="minorEastAsia"/>
          <w:sz w:val="24"/>
          <w:szCs w:val="24"/>
        </w:rPr>
        <w:t>Spring Cloud Alibaba</w:t>
      </w:r>
      <w:r>
        <w:rPr>
          <w:rFonts w:hint="eastAsia" w:asciiTheme="minorEastAsia" w:hAnsiTheme="minorEastAsia" w:eastAsiaTheme="minorEastAsia" w:cstheme="minorEastAsia"/>
          <w:sz w:val="24"/>
          <w:szCs w:val="24"/>
        </w:rPr>
        <w:t xml:space="preserve"> 生态体系，利用 </w:t>
      </w:r>
      <w:r>
        <w:rPr>
          <w:rFonts w:hint="eastAsia" w:ascii="Times New Roman" w:hAnsi="Times New Roman" w:cs="Times New Roman" w:eastAsiaTheme="minorEastAsia"/>
          <w:sz w:val="24"/>
          <w:szCs w:val="24"/>
        </w:rPr>
        <w:t>Nacos</w:t>
      </w:r>
      <w:r>
        <w:rPr>
          <w:rFonts w:hint="eastAsia" w:asciiTheme="minorEastAsia" w:hAnsiTheme="minorEastAsia" w:eastAsiaTheme="minorEastAsia" w:cstheme="minorEastAsia"/>
          <w:sz w:val="24"/>
          <w:szCs w:val="24"/>
        </w:rPr>
        <w:t xml:space="preserve"> 实现服务治理，</w:t>
      </w:r>
      <w:r>
        <w:rPr>
          <w:rFonts w:hint="eastAsia" w:ascii="Times New Roman" w:hAnsi="Times New Roman" w:cs="Times New Roman" w:eastAsiaTheme="minorEastAsia"/>
          <w:sz w:val="24"/>
          <w:szCs w:val="24"/>
        </w:rPr>
        <w:t>Sentinel</w:t>
      </w:r>
      <w:r>
        <w:rPr>
          <w:rFonts w:hint="eastAsia" w:asciiTheme="minorEastAsia" w:hAnsiTheme="minorEastAsia" w:eastAsiaTheme="minorEastAsia" w:cstheme="minorEastAsia"/>
          <w:sz w:val="24"/>
          <w:szCs w:val="24"/>
        </w:rPr>
        <w:t xml:space="preserve"> 保障高并发下的流量稳定性，</w:t>
      </w:r>
      <w:r>
        <w:rPr>
          <w:rFonts w:hint="eastAsia" w:ascii="Times New Roman" w:hAnsi="Times New Roman" w:cs="Times New Roman" w:eastAsiaTheme="minorEastAsia"/>
          <w:sz w:val="24"/>
          <w:szCs w:val="24"/>
        </w:rPr>
        <w:t>Seata</w:t>
      </w:r>
      <w:r>
        <w:rPr>
          <w:rFonts w:hint="eastAsia" w:asciiTheme="minorEastAsia" w:hAnsiTheme="minorEastAsia" w:eastAsiaTheme="minorEastAsia" w:cstheme="minorEastAsia"/>
          <w:sz w:val="24"/>
          <w:szCs w:val="24"/>
        </w:rPr>
        <w:t xml:space="preserve"> 处理跨服务分布式事务，</w:t>
      </w:r>
      <w:r>
        <w:rPr>
          <w:rFonts w:hint="eastAsia" w:ascii="Times New Roman" w:hAnsi="Times New Roman" w:cs="Times New Roman" w:eastAsiaTheme="minorEastAsia"/>
          <w:sz w:val="24"/>
          <w:szCs w:val="24"/>
        </w:rPr>
        <w:t>RocketMQ</w:t>
      </w:r>
      <w:r>
        <w:rPr>
          <w:rFonts w:hint="eastAsia" w:asciiTheme="minorEastAsia" w:hAnsiTheme="minorEastAsia" w:eastAsiaTheme="minorEastAsia" w:cstheme="minorEastAsia"/>
          <w:sz w:val="24"/>
          <w:szCs w:val="24"/>
        </w:rPr>
        <w:t xml:space="preserve"> 完成车辆进出事件的异步削峰。本文详细阐述了系统的总体架构、微服务拆分策略、关键业务流程设计及数据模型。通过微信小程序与管理后台的双端交互，“智停云”实现了车位实时查询、智能推荐、无感支付及运营监控等功能，旨在提升城市停车资源利用率与用户出行效率  </w:t>
      </w:r>
    </w:p>
    <w:p w14:paraId="0D97F8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082C64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 xml:space="preserve">  </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关键词</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智慧城市</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智能停车</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微服务</w:t>
      </w:r>
      <w:r>
        <w:rPr>
          <w:rFonts w:hint="eastAsia" w:asciiTheme="minorEastAsia" w:hAnsiTheme="minorEastAsia" w:cstheme="minorEastAsia"/>
          <w:sz w:val="24"/>
          <w:szCs w:val="24"/>
          <w:lang w:eastAsia="zh-CN"/>
        </w:rPr>
        <w:t>，</w:t>
      </w:r>
      <w:r>
        <w:rPr>
          <w:rFonts w:hint="eastAsia" w:ascii="Times New Roman" w:hAnsi="Times New Roman" w:cs="Times New Roman" w:eastAsiaTheme="minorEastAsia"/>
          <w:sz w:val="24"/>
          <w:szCs w:val="24"/>
        </w:rPr>
        <w:t>Spring Cloud Alibaba</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 xml:space="preserve">分布式事务  </w:t>
      </w:r>
    </w:p>
    <w:p w14:paraId="52274A9D">
      <w:pPr>
        <w:rPr>
          <w:rFonts w:hint="eastAsia"/>
        </w:rPr>
      </w:pPr>
    </w:p>
    <w:p w14:paraId="131FEACC">
      <w:pPr>
        <w:rPr>
          <w:rFonts w:hint="eastAsia"/>
        </w:rPr>
        <w:sectPr>
          <w:pgSz w:w="11906" w:h="16838"/>
          <w:pgMar w:top="1417" w:right="1134" w:bottom="1417" w:left="1701" w:header="851" w:footer="992" w:gutter="0"/>
          <w:cols w:space="425" w:num="1"/>
          <w:docGrid w:type="lines" w:linePitch="312" w:charSpace="0"/>
        </w:sectPr>
      </w:pPr>
      <w:r>
        <w:rPr>
          <w:rFonts w:hint="eastAsia"/>
        </w:rPr>
        <w:br w:type="page"/>
      </w:r>
    </w:p>
    <w:p w14:paraId="3F3346D8"/>
    <w:p w14:paraId="6BB2FA51">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outlineLvl w:val="0"/>
        <w:rPr>
          <w:rFonts w:hint="eastAsia" w:ascii="黑体" w:hAnsi="黑体" w:eastAsia="黑体" w:cs="黑体"/>
          <w:sz w:val="32"/>
          <w:szCs w:val="32"/>
          <w:lang w:eastAsia="en-US"/>
        </w:rPr>
      </w:pPr>
      <w:bookmarkStart w:id="22" w:name="_GoBack"/>
      <w:bookmarkEnd w:id="22"/>
      <w:bookmarkStart w:id="7" w:name="_Toc7481"/>
      <w:r>
        <w:rPr>
          <w:rFonts w:hint="eastAsia" w:ascii="黑体" w:hAnsi="黑体" w:eastAsia="黑体" w:cs="黑体"/>
          <w:sz w:val="32"/>
          <w:szCs w:val="32"/>
          <w:lang w:eastAsia="en-US"/>
        </w:rPr>
        <w:t>目录</w:t>
      </w:r>
      <w:bookmarkEnd w:id="7"/>
    </w:p>
    <w:p w14:paraId="680A6CBF"/>
    <w:p w14:paraId="41719079">
      <w:pPr>
        <w:pStyle w:val="4"/>
        <w:tabs>
          <w:tab w:val="right" w:leader="dot" w:pos="9071"/>
        </w:tabs>
      </w:pPr>
      <w:r>
        <w:rPr>
          <w:rFonts w:hint="default" w:ascii="Times New Roman" w:hAnsi="Times New Roman" w:eastAsia="黑体" w:cs="Times New Roman"/>
          <w:b w:val="0"/>
          <w:bCs w:val="0"/>
          <w:snapToGrid w:val="0"/>
          <w:color w:val="000000"/>
          <w:kern w:val="0"/>
          <w:sz w:val="32"/>
          <w:szCs w:val="32"/>
          <w:lang w:val="en-US" w:eastAsia="zh-CN"/>
        </w:rPr>
        <w:fldChar w:fldCharType="begin"/>
      </w:r>
      <w:r>
        <w:rPr>
          <w:rFonts w:hint="default" w:ascii="Times New Roman" w:hAnsi="Times New Roman" w:eastAsia="黑体" w:cs="Times New Roman"/>
          <w:b w:val="0"/>
          <w:bCs w:val="0"/>
          <w:snapToGrid w:val="0"/>
          <w:color w:val="000000"/>
          <w:kern w:val="0"/>
          <w:sz w:val="32"/>
          <w:szCs w:val="32"/>
          <w:lang w:val="en-US" w:eastAsia="zh-CN"/>
        </w:rPr>
        <w:instrText xml:space="preserve">TOC \o "1-3" \h \u </w:instrText>
      </w:r>
      <w:r>
        <w:rPr>
          <w:rFonts w:hint="default" w:ascii="Times New Roman" w:hAnsi="Times New Roman" w:eastAsia="黑体" w:cs="Times New Roman"/>
          <w:b w:val="0"/>
          <w:bCs w:val="0"/>
          <w:snapToGrid w:val="0"/>
          <w:color w:val="000000"/>
          <w:kern w:val="0"/>
          <w:sz w:val="32"/>
          <w:szCs w:val="32"/>
          <w:lang w:val="en-US" w:eastAsia="zh-CN"/>
        </w:rPr>
        <w:fldChar w:fldCharType="separate"/>
      </w: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_Toc21065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szCs w:val="32"/>
        </w:rPr>
        <w:t>摘要</w:t>
      </w:r>
      <w:r>
        <w:tab/>
      </w:r>
      <w:r>
        <w:fldChar w:fldCharType="begin"/>
      </w:r>
      <w:r>
        <w:instrText xml:space="preserve"> PAGEREF _Toc21065 \h </w:instrText>
      </w:r>
      <w:r>
        <w:fldChar w:fldCharType="separate"/>
      </w:r>
      <w:r>
        <w:t>2</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5869BEBB">
      <w:pPr>
        <w:pStyle w:val="4"/>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_Toc7481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szCs w:val="32"/>
          <w:lang w:eastAsia="en-US"/>
        </w:rPr>
        <w:t>目录</w:t>
      </w:r>
      <w:r>
        <w:tab/>
      </w:r>
      <w:r>
        <w:fldChar w:fldCharType="begin"/>
      </w:r>
      <w:r>
        <w:instrText xml:space="preserve"> PAGEREF _Toc7481 \h </w:instrText>
      </w:r>
      <w:r>
        <w:fldChar w:fldCharType="separate"/>
      </w:r>
      <w:r>
        <w:t>3</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61FF52AA">
      <w:pPr>
        <w:pStyle w:val="4"/>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_Toc20547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szCs w:val="32"/>
        </w:rPr>
        <w:t>引言</w:t>
      </w:r>
      <w:r>
        <w:tab/>
      </w:r>
      <w:r>
        <w:fldChar w:fldCharType="begin"/>
      </w:r>
      <w:r>
        <w:instrText xml:space="preserve"> PAGEREF _Toc20547 \h </w:instrText>
      </w:r>
      <w:r>
        <w:fldChar w:fldCharType="separate"/>
      </w:r>
      <w:r>
        <w:t>4</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4A63221B">
      <w:pPr>
        <w:pStyle w:val="4"/>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_Toc20808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szCs w:val="32"/>
        </w:rPr>
        <w:t>系统总体设计</w:t>
      </w:r>
      <w:r>
        <w:tab/>
      </w:r>
      <w:r>
        <w:fldChar w:fldCharType="begin"/>
      </w:r>
      <w:r>
        <w:instrText xml:space="preserve"> PAGEREF _Toc20808 \h </w:instrText>
      </w:r>
      <w:r>
        <w:fldChar w:fldCharType="separate"/>
      </w:r>
      <w:r>
        <w:t>5</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46D365AA">
      <w:pPr>
        <w:pStyle w:val="5"/>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_Toc16063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i w:val="0"/>
          <w:iCs w:val="0"/>
          <w:caps w:val="0"/>
          <w:spacing w:val="0"/>
          <w:szCs w:val="28"/>
        </w:rPr>
        <w:t>（一）设计目标与原则</w:t>
      </w:r>
      <w:r>
        <w:tab/>
      </w:r>
      <w:r>
        <w:fldChar w:fldCharType="begin"/>
      </w:r>
      <w:r>
        <w:instrText xml:space="preserve"> PAGEREF _Toc16063 \h </w:instrText>
      </w:r>
      <w:r>
        <w:fldChar w:fldCharType="separate"/>
      </w:r>
      <w:r>
        <w:t>5</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67B96DC0">
      <w:pPr>
        <w:pStyle w:val="5"/>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_Toc10230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i w:val="0"/>
          <w:iCs w:val="0"/>
          <w:caps w:val="0"/>
          <w:spacing w:val="0"/>
          <w:szCs w:val="28"/>
        </w:rPr>
        <w:t>（</w:t>
      </w:r>
      <w:r>
        <w:rPr>
          <w:rFonts w:hint="eastAsia" w:ascii="黑体" w:hAnsi="黑体" w:eastAsia="黑体" w:cs="黑体"/>
          <w:i w:val="0"/>
          <w:iCs w:val="0"/>
          <w:caps w:val="0"/>
          <w:spacing w:val="0"/>
          <w:szCs w:val="28"/>
          <w:lang w:val="en-US" w:eastAsia="zh-CN"/>
        </w:rPr>
        <w:t>二</w:t>
      </w:r>
      <w:r>
        <w:rPr>
          <w:rFonts w:hint="eastAsia" w:ascii="黑体" w:hAnsi="黑体" w:eastAsia="黑体" w:cs="黑体"/>
          <w:i w:val="0"/>
          <w:iCs w:val="0"/>
          <w:caps w:val="0"/>
          <w:spacing w:val="0"/>
          <w:szCs w:val="28"/>
        </w:rPr>
        <w:t>）体系结构设计</w:t>
      </w:r>
      <w:r>
        <w:tab/>
      </w:r>
      <w:r>
        <w:fldChar w:fldCharType="begin"/>
      </w:r>
      <w:r>
        <w:instrText xml:space="preserve"> PAGEREF _Toc10230 \h </w:instrText>
      </w:r>
      <w:r>
        <w:fldChar w:fldCharType="separate"/>
      </w:r>
      <w:r>
        <w:t>5</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1999097C">
      <w:pPr>
        <w:pStyle w:val="5"/>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_Toc3568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i w:val="0"/>
          <w:iCs w:val="0"/>
          <w:caps w:val="0"/>
          <w:spacing w:val="0"/>
          <w:szCs w:val="28"/>
          <w:lang w:eastAsia="zh-CN"/>
        </w:rPr>
        <w:t>（</w:t>
      </w:r>
      <w:r>
        <w:rPr>
          <w:rFonts w:hint="eastAsia" w:ascii="黑体" w:hAnsi="黑体" w:eastAsia="黑体" w:cs="黑体"/>
          <w:i w:val="0"/>
          <w:iCs w:val="0"/>
          <w:caps w:val="0"/>
          <w:spacing w:val="0"/>
          <w:szCs w:val="28"/>
          <w:lang w:val="en-US" w:eastAsia="zh-CN"/>
        </w:rPr>
        <w:t>三</w:t>
      </w:r>
      <w:r>
        <w:rPr>
          <w:rFonts w:hint="eastAsia" w:ascii="黑体" w:hAnsi="黑体" w:eastAsia="黑体" w:cs="黑体"/>
          <w:i w:val="0"/>
          <w:iCs w:val="0"/>
          <w:caps w:val="0"/>
          <w:spacing w:val="0"/>
          <w:szCs w:val="28"/>
          <w:lang w:eastAsia="zh-CN"/>
        </w:rPr>
        <w:t>）</w:t>
      </w:r>
      <w:r>
        <w:rPr>
          <w:rFonts w:hint="eastAsia" w:ascii="黑体" w:hAnsi="黑体" w:eastAsia="黑体" w:cs="黑体"/>
          <w:i w:val="0"/>
          <w:iCs w:val="0"/>
          <w:caps w:val="0"/>
          <w:spacing w:val="0"/>
          <w:szCs w:val="28"/>
        </w:rPr>
        <w:t>微服务划分与职责</w:t>
      </w:r>
      <w:r>
        <w:tab/>
      </w:r>
      <w:r>
        <w:fldChar w:fldCharType="begin"/>
      </w:r>
      <w:r>
        <w:instrText xml:space="preserve"> PAGEREF _Toc3568 \h </w:instrText>
      </w:r>
      <w:r>
        <w:fldChar w:fldCharType="separate"/>
      </w:r>
      <w:r>
        <w:t>5</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20FF4B7F">
      <w:pPr>
        <w:pStyle w:val="4"/>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_Toc5076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szCs w:val="32"/>
        </w:rPr>
        <w:t>核心功能与关键技术实现</w:t>
      </w:r>
      <w:r>
        <w:tab/>
      </w:r>
      <w:r>
        <w:fldChar w:fldCharType="begin"/>
      </w:r>
      <w:r>
        <w:instrText xml:space="preserve"> PAGEREF _Toc5076 \h </w:instrText>
      </w:r>
      <w:r>
        <w:fldChar w:fldCharType="separate"/>
      </w:r>
      <w:r>
        <w:t>6</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2651D33E">
      <w:pPr>
        <w:pStyle w:val="5"/>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_Toc17571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i w:val="0"/>
          <w:iCs w:val="0"/>
          <w:caps w:val="0"/>
          <w:spacing w:val="0"/>
          <w:szCs w:val="28"/>
        </w:rPr>
        <w:t>（一） 高并发下的车位管理策略</w:t>
      </w:r>
      <w:r>
        <w:tab/>
      </w:r>
      <w:r>
        <w:fldChar w:fldCharType="begin"/>
      </w:r>
      <w:r>
        <w:instrText xml:space="preserve"> PAGEREF _Toc17571 \h </w:instrText>
      </w:r>
      <w:r>
        <w:fldChar w:fldCharType="separate"/>
      </w:r>
      <w:r>
        <w:t>6</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3FB55043">
      <w:pPr>
        <w:pStyle w:val="5"/>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_Toc27893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i w:val="0"/>
          <w:iCs w:val="0"/>
          <w:caps w:val="0"/>
          <w:spacing w:val="0"/>
          <w:szCs w:val="28"/>
        </w:rPr>
        <w:t>（二）分布式事务处理（车辆离场）</w:t>
      </w:r>
      <w:r>
        <w:tab/>
      </w:r>
      <w:r>
        <w:fldChar w:fldCharType="begin"/>
      </w:r>
      <w:r>
        <w:instrText xml:space="preserve"> PAGEREF _Toc27893 \h </w:instrText>
      </w:r>
      <w:r>
        <w:fldChar w:fldCharType="separate"/>
      </w:r>
      <w:r>
        <w:t>6</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511AF516">
      <w:pPr>
        <w:pStyle w:val="5"/>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_Toc32047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i w:val="0"/>
          <w:iCs w:val="0"/>
          <w:caps w:val="0"/>
          <w:spacing w:val="0"/>
          <w:szCs w:val="28"/>
        </w:rPr>
        <w:t>（三）异步消息驱动架构</w:t>
      </w:r>
      <w:r>
        <w:tab/>
      </w:r>
      <w:r>
        <w:fldChar w:fldCharType="begin"/>
      </w:r>
      <w:r>
        <w:instrText xml:space="preserve"> PAGEREF _Toc32047 \h </w:instrText>
      </w:r>
      <w:r>
        <w:fldChar w:fldCharType="separate"/>
      </w:r>
      <w:r>
        <w:t>6</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75CDBCBA">
      <w:pPr>
        <w:pStyle w:val="4"/>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_Toc17566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szCs w:val="32"/>
        </w:rPr>
        <w:t>数据模型与部署设计</w:t>
      </w:r>
      <w:r>
        <w:tab/>
      </w:r>
      <w:r>
        <w:fldChar w:fldCharType="begin"/>
      </w:r>
      <w:r>
        <w:instrText xml:space="preserve"> PAGEREF _Toc17566 \h </w:instrText>
      </w:r>
      <w:r>
        <w:fldChar w:fldCharType="separate"/>
      </w:r>
      <w:r>
        <w:t>7</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3C67E102">
      <w:pPr>
        <w:pStyle w:val="5"/>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_Toc2797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i w:val="0"/>
          <w:iCs w:val="0"/>
          <w:caps w:val="0"/>
          <w:spacing w:val="0"/>
          <w:szCs w:val="28"/>
        </w:rPr>
        <w:t>（一） 核心数据模型</w:t>
      </w:r>
      <w:r>
        <w:tab/>
      </w:r>
      <w:r>
        <w:fldChar w:fldCharType="begin"/>
      </w:r>
      <w:r>
        <w:instrText xml:space="preserve"> PAGEREF _Toc2797 \h </w:instrText>
      </w:r>
      <w:r>
        <w:fldChar w:fldCharType="separate"/>
      </w:r>
      <w:r>
        <w:t>7</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6FEC02FB">
      <w:pPr>
        <w:pStyle w:val="5"/>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_Toc4959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i w:val="0"/>
          <w:iCs w:val="0"/>
          <w:caps w:val="0"/>
          <w:spacing w:val="0"/>
          <w:szCs w:val="28"/>
        </w:rPr>
        <w:t>（二）容器化部署方案</w:t>
      </w:r>
      <w:r>
        <w:tab/>
      </w:r>
      <w:r>
        <w:fldChar w:fldCharType="begin"/>
      </w:r>
      <w:r>
        <w:instrText xml:space="preserve"> PAGEREF _Toc4959 \h </w:instrText>
      </w:r>
      <w:r>
        <w:fldChar w:fldCharType="separate"/>
      </w:r>
      <w:r>
        <w:t>7</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35D99C3A">
      <w:pPr>
        <w:pStyle w:val="4"/>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_Toc5207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szCs w:val="32"/>
        </w:rPr>
        <w:t>结论</w:t>
      </w:r>
      <w:r>
        <w:tab/>
      </w:r>
      <w:r>
        <w:fldChar w:fldCharType="begin"/>
      </w:r>
      <w:r>
        <w:instrText xml:space="preserve"> PAGEREF _Toc5207 \h </w:instrText>
      </w:r>
      <w:r>
        <w:fldChar w:fldCharType="separate"/>
      </w:r>
      <w:r>
        <w:t>8</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30F30A25">
      <w:pPr>
        <w:pStyle w:val="4"/>
        <w:tabs>
          <w:tab w:val="right" w:leader="dot" w:pos="9071"/>
        </w:tabs>
      </w:pPr>
      <w:r>
        <w:rPr>
          <w:rFonts w:hint="default" w:ascii="Times New Roman" w:hAnsi="Times New Roman" w:eastAsia="黑体" w:cs="Times New Roman"/>
          <w:bCs w:val="0"/>
          <w:snapToGrid w:val="0"/>
          <w:color w:val="000000"/>
          <w:kern w:val="0"/>
          <w:szCs w:val="32"/>
          <w:lang w:val="en-US" w:eastAsia="zh-CN"/>
        </w:rPr>
        <w:fldChar w:fldCharType="begin"/>
      </w:r>
      <w:r>
        <w:rPr>
          <w:rFonts w:hint="default" w:ascii="Times New Roman" w:hAnsi="Times New Roman" w:eastAsia="黑体" w:cs="Times New Roman"/>
          <w:bCs w:val="0"/>
          <w:snapToGrid w:val="0"/>
          <w:kern w:val="0"/>
          <w:szCs w:val="32"/>
          <w:lang w:val="en-US" w:eastAsia="zh-CN"/>
        </w:rPr>
        <w:instrText xml:space="preserve"> HYPERLINK \l _Toc32052 </w:instrText>
      </w:r>
      <w:r>
        <w:rPr>
          <w:rFonts w:hint="default" w:ascii="Times New Roman" w:hAnsi="Times New Roman" w:eastAsia="黑体" w:cs="Times New Roman"/>
          <w:bCs w:val="0"/>
          <w:snapToGrid w:val="0"/>
          <w:kern w:val="0"/>
          <w:szCs w:val="32"/>
          <w:lang w:val="en-US" w:eastAsia="zh-CN"/>
        </w:rPr>
        <w:fldChar w:fldCharType="separate"/>
      </w:r>
      <w:r>
        <w:rPr>
          <w:rFonts w:hint="eastAsia" w:ascii="黑体" w:hAnsi="黑体" w:eastAsia="黑体" w:cs="黑体"/>
          <w:szCs w:val="32"/>
        </w:rPr>
        <w:t>参考文献</w:t>
      </w:r>
      <w:r>
        <w:tab/>
      </w:r>
      <w:r>
        <w:fldChar w:fldCharType="begin"/>
      </w:r>
      <w:r>
        <w:instrText xml:space="preserve"> PAGEREF _Toc32052 \h </w:instrText>
      </w:r>
      <w:r>
        <w:fldChar w:fldCharType="separate"/>
      </w:r>
      <w:r>
        <w:t>9</w:t>
      </w:r>
      <w:r>
        <w:fldChar w:fldCharType="end"/>
      </w:r>
      <w:r>
        <w:rPr>
          <w:rFonts w:hint="default" w:ascii="Times New Roman" w:hAnsi="Times New Roman" w:eastAsia="黑体" w:cs="Times New Roman"/>
          <w:bCs w:val="0"/>
          <w:snapToGrid w:val="0"/>
          <w:color w:val="000000"/>
          <w:kern w:val="0"/>
          <w:szCs w:val="32"/>
          <w:lang w:val="en-US" w:eastAsia="zh-CN"/>
        </w:rPr>
        <w:fldChar w:fldCharType="end"/>
      </w:r>
    </w:p>
    <w:p w14:paraId="12BF504C">
      <w:pPr>
        <w:widowControl/>
        <w:kinsoku w:val="0"/>
        <w:autoSpaceDE w:val="0"/>
        <w:autoSpaceDN w:val="0"/>
        <w:adjustRightInd w:val="0"/>
        <w:snapToGrid w:val="0"/>
        <w:spacing w:before="0" w:beforeLines="0" w:after="0" w:afterLines="0" w:line="240" w:lineRule="auto"/>
        <w:ind w:left="0" w:leftChars="0" w:right="0" w:rightChars="0" w:firstLine="0" w:firstLineChars="0"/>
        <w:jc w:val="center"/>
        <w:textAlignment w:val="baseline"/>
        <w:rPr>
          <w:rFonts w:hint="default" w:ascii="Times New Roman" w:hAnsi="Times New Roman" w:eastAsia="黑体" w:cs="Times New Roman"/>
          <w:bCs w:val="0"/>
          <w:snapToGrid w:val="0"/>
          <w:color w:val="000000"/>
          <w:kern w:val="0"/>
          <w:sz w:val="21"/>
          <w:szCs w:val="32"/>
          <w:lang w:val="en-US" w:eastAsia="zh-CN" w:bidi="ar-SA"/>
        </w:rPr>
      </w:pPr>
      <w:r>
        <w:rPr>
          <w:rFonts w:hint="default" w:ascii="Times New Roman" w:hAnsi="Times New Roman" w:eastAsia="黑体" w:cs="Times New Roman"/>
          <w:bCs w:val="0"/>
          <w:snapToGrid w:val="0"/>
          <w:color w:val="000000"/>
          <w:kern w:val="0"/>
          <w:szCs w:val="32"/>
          <w:lang w:val="en-US" w:eastAsia="zh-CN"/>
        </w:rPr>
        <w:fldChar w:fldCharType="end"/>
      </w:r>
    </w:p>
    <w:p w14:paraId="72E91D33">
      <w:pPr>
        <w:rPr>
          <w:rFonts w:hint="eastAsia"/>
        </w:rPr>
      </w:pPr>
      <w:r>
        <w:rPr>
          <w:rFonts w:hint="eastAsia"/>
        </w:rPr>
        <w:br w:type="page"/>
      </w:r>
    </w:p>
    <w:p w14:paraId="16BE6633">
      <w:pPr>
        <w:rPr>
          <w:rFonts w:hint="eastAsia"/>
        </w:rPr>
      </w:pPr>
    </w:p>
    <w:p w14:paraId="3A2AD3BC">
      <w:pPr>
        <w:rPr>
          <w:rFonts w:hint="eastAsia"/>
        </w:rPr>
      </w:pPr>
    </w:p>
    <w:p w14:paraId="0F9AB906">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outlineLvl w:val="0"/>
        <w:rPr>
          <w:rFonts w:hint="eastAsia" w:ascii="黑体" w:hAnsi="黑体" w:eastAsia="黑体" w:cs="黑体"/>
          <w:sz w:val="32"/>
          <w:szCs w:val="32"/>
        </w:rPr>
      </w:pPr>
      <w:bookmarkStart w:id="8" w:name="_Toc20547"/>
      <w:r>
        <w:rPr>
          <w:rFonts w:hint="eastAsia" w:ascii="黑体" w:hAnsi="黑体" w:eastAsia="黑体" w:cs="黑体"/>
          <w:sz w:val="32"/>
          <w:szCs w:val="32"/>
        </w:rPr>
        <w:t>引言</w:t>
      </w:r>
      <w:bookmarkEnd w:id="8"/>
    </w:p>
    <w:p w14:paraId="3E0D2A35">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黑体" w:hAnsi="黑体" w:eastAsia="黑体" w:cs="黑体"/>
          <w:sz w:val="32"/>
          <w:szCs w:val="32"/>
        </w:rPr>
      </w:pPr>
    </w:p>
    <w:p w14:paraId="007C5C5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随着全球经济社会的持续发展与城市化进程的快速推进，我国机动车保有量呈现出爆发式增长态势。公安部统计数据显示，截至</w:t>
      </w:r>
      <w:r>
        <w:rPr>
          <w:rFonts w:hint="default" w:ascii="Times New Roman" w:hAnsi="Times New Roman" w:cs="Times New Roman" w:eastAsiaTheme="minorEastAsia"/>
          <w:sz w:val="24"/>
          <w:szCs w:val="24"/>
        </w:rPr>
        <w:t>2025</w:t>
      </w:r>
      <w:r>
        <w:rPr>
          <w:rFonts w:hint="eastAsia" w:asciiTheme="minorEastAsia" w:hAnsiTheme="minorEastAsia" w:eastAsiaTheme="minorEastAsia" w:cstheme="minorEastAsia"/>
          <w:sz w:val="24"/>
          <w:szCs w:val="24"/>
        </w:rPr>
        <w:t>年底，全国机动车保有量已突破</w:t>
      </w:r>
      <w:r>
        <w:rPr>
          <w:rFonts w:hint="eastAsia" w:ascii="Times New Roman" w:hAnsi="Times New Roman" w:cs="Times New Roman" w:eastAsiaTheme="minorEastAsia"/>
          <w:sz w:val="24"/>
          <w:szCs w:val="24"/>
        </w:rPr>
        <w:t>4.5</w:t>
      </w:r>
      <w:r>
        <w:rPr>
          <w:rFonts w:hint="eastAsia" w:asciiTheme="minorEastAsia" w:hAnsiTheme="minorEastAsia" w:eastAsiaTheme="minorEastAsia" w:cstheme="minorEastAsia"/>
          <w:sz w:val="24"/>
          <w:szCs w:val="24"/>
        </w:rPr>
        <w:t>亿辆，其中汽车保有量超过</w:t>
      </w:r>
      <w:r>
        <w:rPr>
          <w:rFonts w:hint="eastAsia" w:ascii="Times New Roman" w:hAnsi="Times New Roman" w:cs="Times New Roman" w:eastAsiaTheme="minorEastAsia"/>
          <w:sz w:val="24"/>
          <w:szCs w:val="24"/>
        </w:rPr>
        <w:t>3.5</w:t>
      </w:r>
      <w:r>
        <w:rPr>
          <w:rFonts w:hint="eastAsia" w:asciiTheme="minorEastAsia" w:hAnsiTheme="minorEastAsia" w:eastAsiaTheme="minorEastAsia" w:cstheme="minorEastAsia"/>
          <w:sz w:val="24"/>
          <w:szCs w:val="24"/>
        </w:rPr>
        <w:t>亿辆。然而，受限于城市规划的历史局限性与土地资源的稀缺性，停车位供给增速远滞后于车辆增长速度。根据国际通行标准，车辆与车位的合理比例应为</w:t>
      </w:r>
      <w:r>
        <w:rPr>
          <w:rFonts w:hint="eastAsia" w:ascii="Times New Roman" w:hAnsi="Times New Roman" w:cs="Times New Roman" w:eastAsiaTheme="minorEastAsia"/>
          <w:sz w:val="24"/>
          <w:szCs w:val="24"/>
        </w:rPr>
        <w:t>1</w:t>
      </w:r>
      <w:r>
        <w:rPr>
          <w:rFonts w:hint="eastAsia" w:asciiTheme="minorEastAsia" w:hAnsiTheme="minorEastAsia" w:eastAsiaTheme="minorEastAsia" w:cstheme="minorEastAsia"/>
          <w:sz w:val="24"/>
          <w:szCs w:val="24"/>
        </w:rPr>
        <w:t>比</w:t>
      </w:r>
      <w:r>
        <w:rPr>
          <w:rFonts w:hint="eastAsia" w:ascii="Times New Roman" w:hAnsi="Times New Roman" w:cs="Times New Roman" w:eastAsiaTheme="minorEastAsia"/>
          <w:sz w:val="24"/>
          <w:szCs w:val="24"/>
        </w:rPr>
        <w:t>1.2</w:t>
      </w:r>
      <w:r>
        <w:rPr>
          <w:rFonts w:hint="eastAsia" w:asciiTheme="minorEastAsia" w:hAnsiTheme="minorEastAsia" w:eastAsiaTheme="minorEastAsia" w:cstheme="minorEastAsia"/>
          <w:sz w:val="24"/>
          <w:szCs w:val="24"/>
        </w:rPr>
        <w:t>至</w:t>
      </w:r>
      <w:r>
        <w:rPr>
          <w:rFonts w:hint="eastAsia" w:ascii="Times New Roman" w:hAnsi="Times New Roman" w:cs="Times New Roman" w:eastAsiaTheme="minorEastAsia"/>
          <w:sz w:val="24"/>
          <w:szCs w:val="24"/>
        </w:rPr>
        <w:t>1.4</w:t>
      </w:r>
      <w:r>
        <w:rPr>
          <w:rFonts w:hint="eastAsia" w:asciiTheme="minorEastAsia" w:hAnsiTheme="minorEastAsia" w:eastAsiaTheme="minorEastAsia" w:cstheme="minorEastAsia"/>
          <w:sz w:val="24"/>
          <w:szCs w:val="24"/>
        </w:rPr>
        <w:t>，而我国大城市平均比例仅为</w:t>
      </w:r>
      <w:r>
        <w:rPr>
          <w:rFonts w:hint="eastAsia" w:ascii="Times New Roman" w:hAnsi="Times New Roman" w:cs="Times New Roman" w:eastAsiaTheme="minorEastAsia"/>
          <w:sz w:val="24"/>
          <w:szCs w:val="24"/>
        </w:rPr>
        <w:t>1</w:t>
      </w:r>
      <w:r>
        <w:rPr>
          <w:rFonts w:hint="eastAsia" w:asciiTheme="minorEastAsia" w:hAnsiTheme="minorEastAsia" w:eastAsiaTheme="minorEastAsia" w:cstheme="minorEastAsia"/>
          <w:sz w:val="24"/>
          <w:szCs w:val="24"/>
        </w:rPr>
        <w:t>比</w:t>
      </w:r>
      <w:r>
        <w:rPr>
          <w:rFonts w:hint="eastAsia" w:ascii="Times New Roman" w:hAnsi="Times New Roman" w:cs="Times New Roman" w:eastAsiaTheme="minorEastAsia"/>
          <w:sz w:val="24"/>
          <w:szCs w:val="24"/>
        </w:rPr>
        <w:t>0.8</w:t>
      </w:r>
      <w:r>
        <w:rPr>
          <w:rFonts w:hint="eastAsia" w:asciiTheme="minorEastAsia" w:hAnsiTheme="minorEastAsia" w:eastAsiaTheme="minorEastAsia" w:cstheme="minorEastAsia"/>
          <w:sz w:val="24"/>
          <w:szCs w:val="24"/>
        </w:rPr>
        <w:t>左右，部分老旧城区甚至低于</w:t>
      </w:r>
      <w:r>
        <w:rPr>
          <w:rFonts w:hint="eastAsia" w:ascii="Times New Roman" w:hAnsi="Times New Roman" w:cs="Times New Roman" w:eastAsiaTheme="minorEastAsia"/>
          <w:sz w:val="24"/>
          <w:szCs w:val="24"/>
        </w:rPr>
        <w:t>1</w:t>
      </w:r>
      <w:r>
        <w:rPr>
          <w:rFonts w:hint="eastAsia" w:asciiTheme="minorEastAsia" w:hAnsiTheme="minorEastAsia" w:eastAsiaTheme="minorEastAsia" w:cstheme="minorEastAsia"/>
          <w:sz w:val="24"/>
          <w:szCs w:val="24"/>
        </w:rPr>
        <w:t>比</w:t>
      </w:r>
      <w:r>
        <w:rPr>
          <w:rFonts w:hint="eastAsia" w:ascii="Times New Roman" w:hAnsi="Times New Roman" w:cs="Times New Roman" w:eastAsiaTheme="minorEastAsia"/>
          <w:sz w:val="24"/>
          <w:szCs w:val="24"/>
        </w:rPr>
        <w:t>0.5</w:t>
      </w:r>
      <w:r>
        <w:rPr>
          <w:rFonts w:hint="eastAsia" w:asciiTheme="minorEastAsia" w:hAnsiTheme="minorEastAsia" w:eastAsiaTheme="minorEastAsia" w:cstheme="minorEastAsia"/>
          <w:sz w:val="24"/>
          <w:szCs w:val="24"/>
        </w:rPr>
        <w:t>。这种严重的供需失衡直接导致了“停车难”这一普遍性的城市顽疾，进而引发了违章占道停车、无效巡游造成的交通拥堵、能源浪费及环境污染加剧等一系列连锁反应，已成为制约城市交通运行效率与居民生活质量提升的关键瓶颈。</w:t>
      </w:r>
    </w:p>
    <w:p w14:paraId="63F04D4F">
      <w:pPr>
        <w:rPr>
          <w:rFonts w:hint="eastAsia" w:asciiTheme="minorEastAsia" w:hAnsiTheme="minorEastAsia" w:eastAsiaTheme="minorEastAsia" w:cstheme="minorEastAsia"/>
          <w:sz w:val="24"/>
          <w:szCs w:val="24"/>
        </w:rPr>
      </w:pPr>
    </w:p>
    <w:p w14:paraId="7D366BB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前，尽管各地已涌现出部分智慧停车解决方案，但深入分析后不难发现，现有系统普遍存在三大核心缺陷。其一，架构层面多采用传统的单体应用设计，停车场的业务逻辑、数据处理与用户交互高度耦合。这种架构在面对早晚高峰期海量并发请求时，极易因单点资源耗尽而导致系统响应缓慢甚至服务崩溃，难以通过横向扩展应对流量洪峰。其二，数据层面存在严重的信息孤岛现象。各商业停车场、路边泊位及公共停车场分属不同运营主体，数据格式不统一、接口标准缺失，导致车位信息无法在全域范围内互联互通，车主难以获取全局最优的停车决策依据。其三，关键业务流程的事务保障机制薄弱。停车计费与离场放行涉及跨系统的数据变更，缺乏有效分布式事务协调机制的系统在极端网络波动下极易产生订单状态不一致或重复计费等账务差错，损害用户信任。</w:t>
      </w:r>
    </w:p>
    <w:p w14:paraId="0CB6D663">
      <w:pPr>
        <w:rPr>
          <w:rFonts w:hint="eastAsia" w:asciiTheme="minorEastAsia" w:hAnsiTheme="minorEastAsia" w:eastAsiaTheme="minorEastAsia" w:cstheme="minorEastAsia"/>
          <w:sz w:val="24"/>
          <w:szCs w:val="24"/>
        </w:rPr>
      </w:pPr>
    </w:p>
    <w:p w14:paraId="5F6ABC49">
      <w:pPr>
        <w:rPr>
          <w:rFonts w:hint="eastAsia"/>
        </w:rPr>
      </w:pPr>
      <w:r>
        <w:rPr>
          <w:rFonts w:hint="eastAsia" w:asciiTheme="minorEastAsia" w:hAnsiTheme="minorEastAsia" w:eastAsiaTheme="minorEastAsia" w:cstheme="minorEastAsia"/>
          <w:sz w:val="24"/>
          <w:szCs w:val="24"/>
        </w:rPr>
        <w:t xml:space="preserve">鉴于上述痛点，本文设计并实现了一套基于原生云微服务架构的分布式智能停车引导系统——“智停云”。该系统深度整合 </w:t>
      </w:r>
      <w:r>
        <w:rPr>
          <w:rFonts w:hint="eastAsia" w:ascii="Times New Roman" w:hAnsi="Times New Roman" w:cs="Times New Roman" w:eastAsiaTheme="minorEastAsia"/>
          <w:sz w:val="24"/>
          <w:szCs w:val="24"/>
        </w:rPr>
        <w:t xml:space="preserve">Spring Cloud Alibaba </w:t>
      </w:r>
      <w:r>
        <w:rPr>
          <w:rFonts w:hint="eastAsia" w:asciiTheme="minorEastAsia" w:hAnsiTheme="minorEastAsia" w:eastAsiaTheme="minorEastAsia" w:cstheme="minorEastAsia"/>
          <w:sz w:val="24"/>
          <w:szCs w:val="24"/>
        </w:rPr>
        <w:t xml:space="preserve">生态体系，旨在通过技术手段重构城市停车服务模式。在架构选型上，系统摒弃传统单体模式，将用户认证、停车场管理、订单交易、消息推送等核心能力拆分为独立自治的微服务单元，并依托 </w:t>
      </w:r>
      <w:r>
        <w:rPr>
          <w:rFonts w:hint="eastAsia" w:ascii="Times New Roman" w:hAnsi="Times New Roman" w:cs="Times New Roman" w:eastAsiaTheme="minorEastAsia"/>
          <w:sz w:val="24"/>
          <w:szCs w:val="24"/>
        </w:rPr>
        <w:t>Nacos</w:t>
      </w:r>
      <w:r>
        <w:rPr>
          <w:rFonts w:hint="eastAsia" w:asciiTheme="minorEastAsia" w:hAnsiTheme="minorEastAsia" w:eastAsiaTheme="minorEastAsia" w:cstheme="minorEastAsia"/>
          <w:sz w:val="24"/>
          <w:szCs w:val="24"/>
        </w:rPr>
        <w:t xml:space="preserve"> 构建统一的服务治理中枢，实现了系统的高可用与弹性伸缩能力。在数据融合层面，系统定义了标准化的数据交换协议，通过开放接口整合全市停车场实时泊位数据，力图打破停车场间的物理与信息壁垒。在业务保障层面，系统创新性地引入 </w:t>
      </w:r>
      <w:r>
        <w:rPr>
          <w:rFonts w:hint="eastAsia" w:ascii="Times New Roman" w:hAnsi="Times New Roman" w:cs="Times New Roman" w:eastAsiaTheme="minorEastAsia"/>
          <w:sz w:val="24"/>
          <w:szCs w:val="24"/>
        </w:rPr>
        <w:t xml:space="preserve">Seata </w:t>
      </w:r>
      <w:r>
        <w:rPr>
          <w:rFonts w:hint="eastAsia" w:asciiTheme="minorEastAsia" w:hAnsiTheme="minorEastAsia" w:eastAsiaTheme="minorEastAsia" w:cstheme="minorEastAsia"/>
          <w:sz w:val="24"/>
          <w:szCs w:val="24"/>
        </w:rPr>
        <w:t xml:space="preserve">分布式事务框架与 </w:t>
      </w:r>
      <w:r>
        <w:rPr>
          <w:rFonts w:hint="eastAsia" w:ascii="Times New Roman" w:hAnsi="Times New Roman" w:cs="Times New Roman" w:eastAsiaTheme="minorEastAsia"/>
          <w:sz w:val="24"/>
          <w:szCs w:val="24"/>
        </w:rPr>
        <w:t xml:space="preserve">RocketMQ </w:t>
      </w:r>
      <w:r>
        <w:rPr>
          <w:rFonts w:hint="eastAsia" w:asciiTheme="minorEastAsia" w:hAnsiTheme="minorEastAsia" w:eastAsiaTheme="minorEastAsia" w:cstheme="minorEastAsia"/>
          <w:sz w:val="24"/>
          <w:szCs w:val="24"/>
        </w:rPr>
        <w:t>异步消息队列，对车辆进出场的核心账务链路进行可靠性加固，确保在高并发场景下数据最终一致性。本文将从系统总体架构设计、微服务模块划分、关键业务流程的分布式实现、底层数据模型构建及容器化部署策略等维度，对该系统进行深入细致的阐述与论证。</w:t>
      </w:r>
      <w:r>
        <w:rPr>
          <w:rFonts w:hint="eastAsia"/>
        </w:rPr>
        <w:br w:type="page"/>
      </w:r>
    </w:p>
    <w:p w14:paraId="0BFD6CA2">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outlineLvl w:val="0"/>
        <w:rPr>
          <w:rFonts w:hint="eastAsia"/>
        </w:rPr>
      </w:pPr>
      <w:r>
        <w:rPr>
          <w:rFonts w:hint="eastAsia" w:ascii="黑体" w:hAnsi="黑体" w:eastAsia="黑体" w:cs="黑体"/>
          <w:sz w:val="32"/>
          <w:szCs w:val="32"/>
        </w:rPr>
        <w:t xml:space="preserve"> </w:t>
      </w:r>
      <w:bookmarkStart w:id="9" w:name="_Toc20808"/>
      <w:r>
        <w:rPr>
          <w:rFonts w:hint="eastAsia" w:ascii="黑体" w:hAnsi="黑体" w:eastAsia="黑体" w:cs="黑体"/>
          <w:sz w:val="32"/>
          <w:szCs w:val="32"/>
        </w:rPr>
        <w:t>系统总体设计</w:t>
      </w:r>
      <w:bookmarkEnd w:id="9"/>
    </w:p>
    <w:p w14:paraId="6E3A4C6B">
      <w:pPr>
        <w:rPr>
          <w:rFonts w:hint="eastAsia"/>
        </w:rPr>
      </w:pPr>
    </w:p>
    <w:p w14:paraId="02208B4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outlineLvl w:val="1"/>
        <w:rPr>
          <w:rFonts w:hint="eastAsia" w:asciiTheme="minorEastAsia" w:hAnsiTheme="minorEastAsia" w:eastAsiaTheme="minorEastAsia" w:cstheme="minorEastAsia"/>
          <w:i w:val="0"/>
          <w:iCs w:val="0"/>
          <w:caps w:val="0"/>
          <w:color w:val="404040"/>
          <w:spacing w:val="0"/>
          <w:sz w:val="24"/>
          <w:szCs w:val="24"/>
        </w:rPr>
      </w:pPr>
      <w:bookmarkStart w:id="10" w:name="_Toc16063"/>
      <w:r>
        <w:rPr>
          <w:rFonts w:hint="eastAsia" w:ascii="黑体" w:hAnsi="黑体" w:eastAsia="黑体" w:cs="黑体"/>
          <w:i w:val="0"/>
          <w:iCs w:val="0"/>
          <w:caps w:val="0"/>
          <w:color w:val="404040"/>
          <w:spacing w:val="0"/>
          <w:sz w:val="28"/>
          <w:szCs w:val="28"/>
        </w:rPr>
        <w:t>（一）设计目标与原则</w:t>
      </w:r>
      <w:bookmarkEnd w:id="10"/>
      <w:r>
        <w:rPr>
          <w:rFonts w:hint="eastAsia" w:ascii="黑体" w:hAnsi="黑体" w:eastAsia="黑体" w:cs="黑体"/>
          <w:i w:val="0"/>
          <w:iCs w:val="0"/>
          <w:caps w:val="0"/>
          <w:color w:val="404040"/>
          <w:spacing w:val="0"/>
          <w:sz w:val="28"/>
          <w:szCs w:val="28"/>
        </w:rPr>
        <w:t xml:space="preserve"> </w:t>
      </w:r>
      <w:r>
        <w:rPr>
          <w:rFonts w:hint="eastAsia" w:asciiTheme="minorEastAsia" w:hAnsiTheme="minorEastAsia" w:eastAsiaTheme="minorEastAsia" w:cstheme="minorEastAsia"/>
          <w:i w:val="0"/>
          <w:iCs w:val="0"/>
          <w:caps w:val="0"/>
          <w:color w:val="404040"/>
          <w:spacing w:val="0"/>
          <w:sz w:val="24"/>
          <w:szCs w:val="24"/>
        </w:rPr>
        <w:t xml:space="preserve"> </w:t>
      </w:r>
    </w:p>
    <w:p w14:paraId="27AC2D3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“智停云”系统的设计遵循以下核心原则：</w:t>
      </w:r>
    </w:p>
    <w:p w14:paraId="6D9CC4F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高可用与可扩展性：采用微服务架构，支持核心服务的独立部署与弹性伸缩，确保高峰期系统稳定。</w:t>
      </w:r>
    </w:p>
    <w:p w14:paraId="509BA56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数据最终一致性：针对车辆入场、离场等核心账务场景，引入分布式事务解决方案，保证业务数据的准确可靠。</w:t>
      </w:r>
    </w:p>
    <w:p w14:paraId="14B1363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黑体" w:hAnsi="黑体" w:eastAsia="黑体" w:cs="黑体"/>
          <w:i w:val="0"/>
          <w:iCs w:val="0"/>
          <w:caps w:val="0"/>
          <w:color w:val="404040"/>
          <w:spacing w:val="0"/>
          <w:sz w:val="28"/>
          <w:szCs w:val="28"/>
        </w:rPr>
      </w:pPr>
      <w:r>
        <w:rPr>
          <w:rFonts w:hint="eastAsia" w:asciiTheme="minorEastAsia" w:hAnsiTheme="minorEastAsia" w:eastAsiaTheme="minorEastAsia" w:cstheme="minorEastAsia"/>
          <w:i w:val="0"/>
          <w:iCs w:val="0"/>
          <w:caps w:val="0"/>
          <w:color w:val="404040"/>
          <w:spacing w:val="0"/>
          <w:sz w:val="24"/>
          <w:szCs w:val="24"/>
        </w:rPr>
        <w:t>流量管控：利用熔断、限流、降级机制应对突发流量，防止服务雪崩。</w:t>
      </w:r>
    </w:p>
    <w:p w14:paraId="1012D328">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outlineLvl w:val="1"/>
        <w:rPr>
          <w:rFonts w:hint="eastAsia" w:asciiTheme="minorEastAsia" w:hAnsiTheme="minorEastAsia" w:eastAsiaTheme="minorEastAsia" w:cstheme="minorEastAsia"/>
          <w:sz w:val="24"/>
          <w:szCs w:val="24"/>
        </w:rPr>
      </w:pPr>
      <w:bookmarkStart w:id="11" w:name="_Toc10230"/>
      <w:r>
        <w:rPr>
          <w:rFonts w:hint="eastAsia" w:ascii="黑体" w:hAnsi="黑体" w:eastAsia="黑体" w:cs="黑体"/>
          <w:i w:val="0"/>
          <w:iCs w:val="0"/>
          <w:caps w:val="0"/>
          <w:color w:val="404040"/>
          <w:spacing w:val="0"/>
          <w:sz w:val="28"/>
          <w:szCs w:val="28"/>
        </w:rPr>
        <w:t>（</w:t>
      </w:r>
      <w:r>
        <w:rPr>
          <w:rFonts w:hint="eastAsia" w:ascii="黑体" w:hAnsi="黑体" w:eastAsia="黑体" w:cs="黑体"/>
          <w:i w:val="0"/>
          <w:iCs w:val="0"/>
          <w:caps w:val="0"/>
          <w:color w:val="404040"/>
          <w:spacing w:val="0"/>
          <w:sz w:val="28"/>
          <w:szCs w:val="28"/>
          <w:lang w:val="en-US" w:eastAsia="zh-CN"/>
        </w:rPr>
        <w:t>二</w:t>
      </w:r>
      <w:r>
        <w:rPr>
          <w:rFonts w:hint="eastAsia" w:ascii="黑体" w:hAnsi="黑体" w:eastAsia="黑体" w:cs="黑体"/>
          <w:i w:val="0"/>
          <w:iCs w:val="0"/>
          <w:caps w:val="0"/>
          <w:color w:val="404040"/>
          <w:spacing w:val="0"/>
          <w:sz w:val="28"/>
          <w:szCs w:val="28"/>
        </w:rPr>
        <w:t>）体系结构设计</w:t>
      </w:r>
      <w:bookmarkEnd w:id="11"/>
      <w:r>
        <w:rPr>
          <w:rFonts w:hint="eastAsia" w:ascii="黑体" w:hAnsi="黑体" w:eastAsia="黑体" w:cs="黑体"/>
          <w:i w:val="0"/>
          <w:iCs w:val="0"/>
          <w:caps w:val="0"/>
          <w:color w:val="404040"/>
          <w:spacing w:val="0"/>
          <w:sz w:val="28"/>
          <w:szCs w:val="28"/>
        </w:rPr>
        <w:t xml:space="preserve"> </w:t>
      </w:r>
      <w:r>
        <w:rPr>
          <w:rFonts w:hint="eastAsia" w:asciiTheme="minorEastAsia" w:hAnsiTheme="minorEastAsia" w:eastAsiaTheme="minorEastAsia" w:cstheme="minorEastAsia"/>
          <w:i w:val="0"/>
          <w:iCs w:val="0"/>
          <w:caps w:val="0"/>
          <w:color w:val="404040"/>
          <w:spacing w:val="0"/>
          <w:sz w:val="24"/>
          <w:szCs w:val="24"/>
        </w:rPr>
        <w:t xml:space="preserve"> </w:t>
      </w:r>
      <w:r>
        <w:rPr>
          <w:rFonts w:hint="eastAsia" w:asciiTheme="minorEastAsia" w:hAnsiTheme="minorEastAsia" w:eastAsiaTheme="minorEastAsia" w:cstheme="minorEastAsia"/>
          <w:sz w:val="24"/>
          <w:szCs w:val="24"/>
        </w:rPr>
        <w:t xml:space="preserve">  </w:t>
      </w:r>
    </w:p>
    <w:p w14:paraId="1F9B6A6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 xml:space="preserve">系统整体采用基于 </w:t>
      </w:r>
      <w:r>
        <w:rPr>
          <w:rFonts w:hint="eastAsia" w:ascii="Times New Roman" w:hAnsi="Times New Roman" w:cs="Times New Roman" w:eastAsiaTheme="minorEastAsia"/>
          <w:sz w:val="24"/>
          <w:szCs w:val="24"/>
        </w:rPr>
        <w:t>Spring Cloud Alibaba</w:t>
      </w:r>
      <w:r>
        <w:rPr>
          <w:rFonts w:hint="eastAsia" w:asciiTheme="minorEastAsia" w:hAnsiTheme="minorEastAsia" w:eastAsiaTheme="minorEastAsia" w:cstheme="minorEastAsia"/>
          <w:i w:val="0"/>
          <w:iCs w:val="0"/>
          <w:caps w:val="0"/>
          <w:color w:val="404040"/>
          <w:spacing w:val="0"/>
          <w:sz w:val="24"/>
          <w:szCs w:val="24"/>
        </w:rPr>
        <w:t xml:space="preserve"> 的微服务架构，自上而下分为四层，如图</w:t>
      </w:r>
      <w:r>
        <w:rPr>
          <w:rFonts w:hint="eastAsia" w:ascii="Times New Roman" w:hAnsi="Times New Roman" w:cs="Times New Roman" w:eastAsiaTheme="minorEastAsia"/>
          <w:sz w:val="24"/>
          <w:szCs w:val="24"/>
        </w:rPr>
        <w:t>1</w:t>
      </w:r>
      <w:r>
        <w:rPr>
          <w:rFonts w:hint="eastAsia" w:asciiTheme="minorEastAsia" w:hAnsiTheme="minorEastAsia" w:eastAsiaTheme="minorEastAsia" w:cstheme="minorEastAsia"/>
          <w:i w:val="0"/>
          <w:iCs w:val="0"/>
          <w:caps w:val="0"/>
          <w:color w:val="404040"/>
          <w:spacing w:val="0"/>
          <w:sz w:val="24"/>
          <w:szCs w:val="24"/>
        </w:rPr>
        <w:t>所示。</w:t>
      </w:r>
    </w:p>
    <w:p w14:paraId="32BA3F0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 xml:space="preserve">1.  客户端层：包含面向车主的微信小程序和面向管理员的 </w:t>
      </w:r>
      <w:r>
        <w:rPr>
          <w:rFonts w:hint="eastAsia" w:ascii="Times New Roman" w:hAnsi="Times New Roman" w:cs="Times New Roman" w:eastAsiaTheme="minorEastAsia"/>
          <w:sz w:val="24"/>
          <w:szCs w:val="24"/>
        </w:rPr>
        <w:t>Vue</w:t>
      </w:r>
      <w:r>
        <w:rPr>
          <w:rFonts w:hint="eastAsia" w:asciiTheme="minorEastAsia" w:hAnsiTheme="minorEastAsia" w:eastAsiaTheme="minorEastAsia" w:cstheme="minorEastAsia"/>
          <w:i w:val="0"/>
          <w:iCs w:val="0"/>
          <w:caps w:val="0"/>
          <w:color w:val="404040"/>
          <w:spacing w:val="0"/>
          <w:sz w:val="24"/>
          <w:szCs w:val="24"/>
        </w:rPr>
        <w:t xml:space="preserve"> 管理后台。</w:t>
      </w:r>
    </w:p>
    <w:p w14:paraId="1D2D9EC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 xml:space="preserve">2.  </w:t>
      </w:r>
      <w:r>
        <w:rPr>
          <w:rFonts w:hint="eastAsia" w:ascii="Times New Roman" w:hAnsi="Times New Roman" w:cs="Times New Roman" w:eastAsiaTheme="minorEastAsia"/>
          <w:sz w:val="24"/>
          <w:szCs w:val="24"/>
        </w:rPr>
        <w:t xml:space="preserve">API </w:t>
      </w:r>
      <w:r>
        <w:rPr>
          <w:rFonts w:hint="eastAsia" w:asciiTheme="minorEastAsia" w:hAnsiTheme="minorEastAsia" w:eastAsiaTheme="minorEastAsia" w:cstheme="minorEastAsia"/>
          <w:i w:val="0"/>
          <w:iCs w:val="0"/>
          <w:caps w:val="0"/>
          <w:color w:val="404040"/>
          <w:spacing w:val="0"/>
          <w:sz w:val="24"/>
          <w:szCs w:val="24"/>
        </w:rPr>
        <w:t xml:space="preserve">网关层：采用 </w:t>
      </w:r>
      <w:r>
        <w:rPr>
          <w:rFonts w:hint="eastAsia" w:ascii="Times New Roman" w:hAnsi="Times New Roman" w:cs="Times New Roman" w:eastAsiaTheme="minorEastAsia"/>
          <w:sz w:val="24"/>
          <w:szCs w:val="24"/>
        </w:rPr>
        <w:t xml:space="preserve">Spring Cloud Gateway </w:t>
      </w:r>
      <w:r>
        <w:rPr>
          <w:rFonts w:hint="eastAsia" w:asciiTheme="minorEastAsia" w:hAnsiTheme="minorEastAsia" w:eastAsiaTheme="minorEastAsia" w:cstheme="minorEastAsia"/>
          <w:i w:val="0"/>
          <w:iCs w:val="0"/>
          <w:caps w:val="0"/>
          <w:color w:val="404040"/>
          <w:spacing w:val="0"/>
          <w:sz w:val="24"/>
          <w:szCs w:val="24"/>
        </w:rPr>
        <w:t>作为统一入口，负责请求路由、</w:t>
      </w:r>
      <w:r>
        <w:rPr>
          <w:rFonts w:hint="eastAsia" w:ascii="Times New Roman" w:hAnsi="Times New Roman" w:cs="Times New Roman" w:eastAsiaTheme="minorEastAsia"/>
          <w:sz w:val="24"/>
          <w:szCs w:val="24"/>
        </w:rPr>
        <w:t>JWT</w:t>
      </w:r>
      <w:r>
        <w:rPr>
          <w:rFonts w:hint="eastAsia" w:asciiTheme="minorEastAsia" w:hAnsiTheme="minorEastAsia" w:eastAsiaTheme="minorEastAsia" w:cstheme="minorEastAsia"/>
          <w:i w:val="0"/>
          <w:iCs w:val="0"/>
          <w:caps w:val="0"/>
          <w:color w:val="404040"/>
          <w:spacing w:val="0"/>
          <w:sz w:val="24"/>
          <w:szCs w:val="24"/>
        </w:rPr>
        <w:t xml:space="preserve"> 鉴权以及基于 </w:t>
      </w:r>
      <w:r>
        <w:rPr>
          <w:rFonts w:hint="eastAsia" w:ascii="Times New Roman" w:hAnsi="Times New Roman" w:cs="Times New Roman" w:eastAsiaTheme="minorEastAsia"/>
          <w:sz w:val="24"/>
          <w:szCs w:val="24"/>
        </w:rPr>
        <w:t>Sentinel</w:t>
      </w:r>
      <w:r>
        <w:rPr>
          <w:rFonts w:hint="eastAsia" w:asciiTheme="minorEastAsia" w:hAnsiTheme="minorEastAsia" w:eastAsiaTheme="minorEastAsia" w:cstheme="minorEastAsia"/>
          <w:i w:val="0"/>
          <w:iCs w:val="0"/>
          <w:caps w:val="0"/>
          <w:color w:val="404040"/>
          <w:spacing w:val="0"/>
          <w:sz w:val="24"/>
          <w:szCs w:val="24"/>
        </w:rPr>
        <w:t xml:space="preserve"> 的网关限流。</w:t>
      </w:r>
    </w:p>
    <w:p w14:paraId="6EE305B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 xml:space="preserve">3.  业务服务层：根据业务边界拆分为用户服务、停车场服务、订单服务、导航服务与消息服务等独立微服务单元。所有服务均注册至 </w:t>
      </w:r>
      <w:r>
        <w:rPr>
          <w:rFonts w:hint="eastAsia" w:ascii="Times New Roman" w:hAnsi="Times New Roman" w:cs="Times New Roman" w:eastAsiaTheme="minorEastAsia"/>
          <w:sz w:val="24"/>
          <w:szCs w:val="24"/>
        </w:rPr>
        <w:t>Nacos</w:t>
      </w:r>
      <w:r>
        <w:rPr>
          <w:rFonts w:hint="eastAsia" w:asciiTheme="minorEastAsia" w:hAnsiTheme="minorEastAsia" w:eastAsiaTheme="minorEastAsia" w:cstheme="minorEastAsia"/>
          <w:i w:val="0"/>
          <w:iCs w:val="0"/>
          <w:caps w:val="0"/>
          <w:color w:val="404040"/>
          <w:spacing w:val="0"/>
          <w:sz w:val="24"/>
          <w:szCs w:val="24"/>
        </w:rPr>
        <w:t xml:space="preserve"> 集群，实现服务发现与配置的动态管理。</w:t>
      </w:r>
    </w:p>
    <w:p w14:paraId="207015C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4.  中间件层：提供数据持久化（</w:t>
      </w:r>
      <w:r>
        <w:rPr>
          <w:rFonts w:hint="eastAsia" w:ascii="Times New Roman" w:hAnsi="Times New Roman" w:cs="Times New Roman" w:eastAsiaTheme="minorEastAsia"/>
          <w:sz w:val="24"/>
          <w:szCs w:val="24"/>
        </w:rPr>
        <w:t>MySQL</w:t>
      </w:r>
      <w:r>
        <w:rPr>
          <w:rFonts w:hint="eastAsia" w:asciiTheme="minorEastAsia" w:hAnsiTheme="minorEastAsia" w:eastAsiaTheme="minorEastAsia" w:cstheme="minorEastAsia"/>
          <w:i w:val="0"/>
          <w:iCs w:val="0"/>
          <w:caps w:val="0"/>
          <w:color w:val="404040"/>
          <w:spacing w:val="0"/>
          <w:sz w:val="24"/>
          <w:szCs w:val="24"/>
        </w:rPr>
        <w:t>）、高速缓存（</w:t>
      </w:r>
      <w:r>
        <w:rPr>
          <w:rFonts w:hint="eastAsia" w:ascii="Times New Roman" w:hAnsi="Times New Roman" w:cs="Times New Roman" w:eastAsiaTheme="minorEastAsia"/>
          <w:sz w:val="24"/>
          <w:szCs w:val="24"/>
        </w:rPr>
        <w:t>Redis</w:t>
      </w:r>
      <w:r>
        <w:rPr>
          <w:rFonts w:hint="eastAsia" w:asciiTheme="minorEastAsia" w:hAnsiTheme="minorEastAsia" w:eastAsiaTheme="minorEastAsia" w:cstheme="minorEastAsia"/>
          <w:i w:val="0"/>
          <w:iCs w:val="0"/>
          <w:caps w:val="0"/>
          <w:color w:val="404040"/>
          <w:spacing w:val="0"/>
          <w:sz w:val="24"/>
          <w:szCs w:val="24"/>
        </w:rPr>
        <w:t>）、异步消息（</w:t>
      </w:r>
      <w:r>
        <w:rPr>
          <w:rFonts w:hint="eastAsia" w:ascii="Times New Roman" w:hAnsi="Times New Roman" w:cs="Times New Roman" w:eastAsiaTheme="minorEastAsia"/>
          <w:sz w:val="24"/>
          <w:szCs w:val="24"/>
        </w:rPr>
        <w:t>RocketMQ</w:t>
      </w:r>
      <w:r>
        <w:rPr>
          <w:rFonts w:hint="eastAsia" w:asciiTheme="minorEastAsia" w:hAnsiTheme="minorEastAsia" w:eastAsiaTheme="minorEastAsia" w:cstheme="minorEastAsia"/>
          <w:i w:val="0"/>
          <w:iCs w:val="0"/>
          <w:caps w:val="0"/>
          <w:color w:val="404040"/>
          <w:spacing w:val="0"/>
          <w:sz w:val="24"/>
          <w:szCs w:val="24"/>
        </w:rPr>
        <w:t>）及分布式事务协调（</w:t>
      </w:r>
      <w:r>
        <w:rPr>
          <w:rFonts w:hint="eastAsia" w:ascii="Times New Roman" w:hAnsi="Times New Roman" w:cs="Times New Roman" w:eastAsiaTheme="minorEastAsia"/>
          <w:sz w:val="24"/>
          <w:szCs w:val="24"/>
        </w:rPr>
        <w:t>Seata TC</w:t>
      </w:r>
      <w:r>
        <w:rPr>
          <w:rFonts w:hint="eastAsia" w:asciiTheme="minorEastAsia" w:hAnsiTheme="minorEastAsia" w:eastAsiaTheme="minorEastAsia" w:cstheme="minorEastAsia"/>
          <w:i w:val="0"/>
          <w:iCs w:val="0"/>
          <w:caps w:val="0"/>
          <w:color w:val="404040"/>
          <w:spacing w:val="0"/>
          <w:sz w:val="24"/>
          <w:szCs w:val="24"/>
        </w:rPr>
        <w:t>）的基础支撑。</w:t>
      </w:r>
    </w:p>
    <w:p w14:paraId="02D4C06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outlineLvl w:val="1"/>
        <w:rPr>
          <w:rFonts w:hint="eastAsia" w:ascii="黑体" w:hAnsi="黑体" w:eastAsia="黑体" w:cs="黑体"/>
          <w:i w:val="0"/>
          <w:iCs w:val="0"/>
          <w:caps w:val="0"/>
          <w:color w:val="404040"/>
          <w:spacing w:val="0"/>
          <w:sz w:val="28"/>
          <w:szCs w:val="28"/>
        </w:rPr>
      </w:pPr>
      <w:bookmarkStart w:id="12" w:name="_Toc3568"/>
      <w:r>
        <w:rPr>
          <w:rFonts w:hint="eastAsia" w:ascii="黑体" w:hAnsi="黑体" w:eastAsia="黑体" w:cs="黑体"/>
          <w:i w:val="0"/>
          <w:iCs w:val="0"/>
          <w:caps w:val="0"/>
          <w:color w:val="404040"/>
          <w:spacing w:val="0"/>
          <w:sz w:val="28"/>
          <w:szCs w:val="28"/>
          <w:lang w:eastAsia="zh-CN"/>
        </w:rPr>
        <w:t>（</w:t>
      </w:r>
      <w:r>
        <w:rPr>
          <w:rFonts w:hint="eastAsia" w:ascii="黑体" w:hAnsi="黑体" w:eastAsia="黑体" w:cs="黑体"/>
          <w:i w:val="0"/>
          <w:iCs w:val="0"/>
          <w:caps w:val="0"/>
          <w:color w:val="404040"/>
          <w:spacing w:val="0"/>
          <w:sz w:val="28"/>
          <w:szCs w:val="28"/>
          <w:lang w:val="en-US" w:eastAsia="zh-CN"/>
        </w:rPr>
        <w:t>三</w:t>
      </w:r>
      <w:r>
        <w:rPr>
          <w:rFonts w:hint="eastAsia" w:ascii="黑体" w:hAnsi="黑体" w:eastAsia="黑体" w:cs="黑体"/>
          <w:i w:val="0"/>
          <w:iCs w:val="0"/>
          <w:caps w:val="0"/>
          <w:color w:val="404040"/>
          <w:spacing w:val="0"/>
          <w:sz w:val="28"/>
          <w:szCs w:val="28"/>
          <w:lang w:eastAsia="zh-CN"/>
        </w:rPr>
        <w:t>）</w:t>
      </w:r>
      <w:r>
        <w:rPr>
          <w:rFonts w:hint="eastAsia" w:ascii="黑体" w:hAnsi="黑体" w:eastAsia="黑体" w:cs="黑体"/>
          <w:i w:val="0"/>
          <w:iCs w:val="0"/>
          <w:caps w:val="0"/>
          <w:color w:val="404040"/>
          <w:spacing w:val="0"/>
          <w:sz w:val="28"/>
          <w:szCs w:val="28"/>
        </w:rPr>
        <w:t>微服务划分与职责</w:t>
      </w:r>
      <w:bookmarkEnd w:id="12"/>
    </w:p>
    <w:p w14:paraId="62BE1E3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基于单一职责原则，系统核心微服务定义如下：</w:t>
      </w:r>
    </w:p>
    <w:p w14:paraId="7E44AF1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用户服务：负责用户注册登录、</w:t>
      </w:r>
      <w:r>
        <w:rPr>
          <w:rFonts w:hint="eastAsia" w:ascii="Times New Roman" w:hAnsi="Times New Roman" w:cs="Times New Roman" w:eastAsiaTheme="minorEastAsia"/>
          <w:sz w:val="24"/>
          <w:szCs w:val="24"/>
        </w:rPr>
        <w:t>JWT</w:t>
      </w:r>
      <w:r>
        <w:rPr>
          <w:rFonts w:hint="eastAsia" w:asciiTheme="minorEastAsia" w:hAnsiTheme="minorEastAsia" w:eastAsiaTheme="minorEastAsia" w:cstheme="minorEastAsia"/>
          <w:i w:val="0"/>
          <w:iCs w:val="0"/>
          <w:caps w:val="0"/>
          <w:color w:val="404040"/>
          <w:spacing w:val="0"/>
          <w:sz w:val="24"/>
          <w:szCs w:val="24"/>
        </w:rPr>
        <w:t>令牌管理、车牌绑定及积分逻辑。</w:t>
      </w:r>
    </w:p>
    <w:p w14:paraId="4D05F5D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 xml:space="preserve">停车场服务：维护停车场基础信息，并利用 </w:t>
      </w:r>
      <w:r>
        <w:rPr>
          <w:rFonts w:hint="eastAsia" w:ascii="Times New Roman" w:hAnsi="Times New Roman" w:cs="Times New Roman" w:eastAsiaTheme="minorEastAsia"/>
          <w:sz w:val="24"/>
          <w:szCs w:val="24"/>
        </w:rPr>
        <w:t>Redisson</w:t>
      </w:r>
      <w:r>
        <w:rPr>
          <w:rFonts w:hint="eastAsia" w:asciiTheme="minorEastAsia" w:hAnsiTheme="minorEastAsia" w:eastAsiaTheme="minorEastAsia" w:cstheme="minorEastAsia"/>
          <w:i w:val="0"/>
          <w:iCs w:val="0"/>
          <w:caps w:val="0"/>
          <w:color w:val="404040"/>
          <w:spacing w:val="0"/>
          <w:sz w:val="24"/>
          <w:szCs w:val="24"/>
        </w:rPr>
        <w:t xml:space="preserve"> 分布式锁处理高并发下的车位余量扣减与释放。</w:t>
      </w:r>
    </w:p>
    <w:p w14:paraId="6867E5F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 xml:space="preserve">订单服务：作为核心业务枢纽，管理停车订单的生命周期，并通过 </w:t>
      </w:r>
      <w:r>
        <w:rPr>
          <w:rFonts w:hint="eastAsia" w:ascii="Times New Roman" w:hAnsi="Times New Roman" w:cs="Times New Roman" w:eastAsiaTheme="minorEastAsia"/>
          <w:sz w:val="24"/>
          <w:szCs w:val="24"/>
        </w:rPr>
        <w:t>Seata TCC</w:t>
      </w:r>
      <w:r>
        <w:rPr>
          <w:rFonts w:hint="eastAsia" w:asciiTheme="minorEastAsia" w:hAnsiTheme="minorEastAsia" w:eastAsiaTheme="minorEastAsia" w:cstheme="minorEastAsia"/>
          <w:i w:val="0"/>
          <w:iCs w:val="0"/>
          <w:caps w:val="0"/>
          <w:color w:val="404040"/>
          <w:spacing w:val="0"/>
          <w:sz w:val="24"/>
          <w:szCs w:val="24"/>
        </w:rPr>
        <w:t xml:space="preserve"> 模式协调车辆离场时的计费与车位释放事务。</w:t>
      </w:r>
    </w:p>
    <w:p w14:paraId="32DDCE0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 xml:space="preserve">消息服务：作为 </w:t>
      </w:r>
      <w:r>
        <w:rPr>
          <w:rFonts w:hint="eastAsia" w:ascii="Times New Roman" w:hAnsi="Times New Roman" w:cs="Times New Roman" w:eastAsiaTheme="minorEastAsia"/>
          <w:sz w:val="24"/>
          <w:szCs w:val="24"/>
        </w:rPr>
        <w:t>RocketMQ</w:t>
      </w:r>
      <w:r>
        <w:rPr>
          <w:rFonts w:hint="eastAsia" w:asciiTheme="minorEastAsia" w:hAnsiTheme="minorEastAsia" w:eastAsiaTheme="minorEastAsia" w:cstheme="minorEastAsia"/>
          <w:i w:val="0"/>
          <w:iCs w:val="0"/>
          <w:caps w:val="0"/>
          <w:color w:val="404040"/>
          <w:spacing w:val="0"/>
          <w:sz w:val="24"/>
          <w:szCs w:val="24"/>
        </w:rPr>
        <w:t xml:space="preserve"> 消费者，异步监听车辆进出场事件，进行日志记录及缓存更新，实现业务解耦。</w:t>
      </w:r>
    </w:p>
    <w:p w14:paraId="0AFFF31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asciiTheme="minorEastAsia" w:hAnsiTheme="minorEastAsia" w:eastAsiaTheme="minorEastAsia" w:cstheme="minorEastAsia"/>
          <w:i w:val="0"/>
          <w:iCs w:val="0"/>
          <w:caps w:val="0"/>
          <w:color w:val="404040"/>
          <w:spacing w:val="0"/>
          <w:sz w:val="24"/>
          <w:szCs w:val="24"/>
        </w:rPr>
      </w:pPr>
      <w:r>
        <w:rPr>
          <w:rFonts w:hint="eastAsia" w:asciiTheme="minorEastAsia" w:hAnsiTheme="minorEastAsia" w:eastAsiaTheme="minorEastAsia" w:cstheme="minorEastAsia"/>
          <w:i w:val="0"/>
          <w:iCs w:val="0"/>
          <w:caps w:val="0"/>
          <w:color w:val="404040"/>
          <w:spacing w:val="0"/>
          <w:sz w:val="24"/>
          <w:szCs w:val="24"/>
        </w:rPr>
        <w:t>网关服务：统一鉴权与流量入口防护。</w:t>
      </w:r>
    </w:p>
    <w:p w14:paraId="234A79BA">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outlineLvl w:val="0"/>
        <w:rPr>
          <w:rFonts w:hint="eastAsia" w:ascii="黑体" w:hAnsi="黑体" w:eastAsia="黑体" w:cs="黑体"/>
          <w:sz w:val="32"/>
          <w:szCs w:val="32"/>
        </w:rPr>
      </w:pPr>
      <w:bookmarkStart w:id="13" w:name="_Toc5076"/>
      <w:r>
        <w:rPr>
          <w:rFonts w:hint="eastAsia" w:ascii="黑体" w:hAnsi="黑体" w:eastAsia="黑体" w:cs="黑体"/>
          <w:sz w:val="32"/>
          <w:szCs w:val="32"/>
        </w:rPr>
        <w:t>核心功能与关键技术实现</w:t>
      </w:r>
      <w:bookmarkEnd w:id="13"/>
    </w:p>
    <w:p w14:paraId="723B9DD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outlineLvl w:val="1"/>
        <w:rPr>
          <w:rFonts w:hint="eastAsia" w:asciiTheme="minorEastAsia" w:hAnsiTheme="minorEastAsia" w:eastAsiaTheme="minorEastAsia" w:cstheme="minorEastAsia"/>
          <w:sz w:val="24"/>
          <w:szCs w:val="24"/>
        </w:rPr>
      </w:pPr>
      <w:bookmarkStart w:id="14" w:name="_Toc17571"/>
      <w:r>
        <w:rPr>
          <w:rFonts w:hint="eastAsia" w:ascii="黑体" w:hAnsi="黑体" w:eastAsia="黑体" w:cs="黑体"/>
          <w:i w:val="0"/>
          <w:iCs w:val="0"/>
          <w:caps w:val="0"/>
          <w:color w:val="404040"/>
          <w:spacing w:val="0"/>
          <w:sz w:val="28"/>
          <w:szCs w:val="28"/>
        </w:rPr>
        <w:t>（一） 高并发下的车位管理策略</w:t>
      </w:r>
      <w:bookmarkEnd w:id="14"/>
      <w:r>
        <w:rPr>
          <w:rFonts w:hint="eastAsia" w:asciiTheme="minorEastAsia" w:hAnsiTheme="minorEastAsia" w:eastAsiaTheme="minorEastAsia" w:cstheme="minorEastAsia"/>
          <w:sz w:val="24"/>
          <w:szCs w:val="24"/>
        </w:rPr>
        <w:t xml:space="preserve"> </w:t>
      </w:r>
    </w:p>
    <w:p w14:paraId="516DF6FC">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在早晚高峰期，热门停车场的车位余量查询与扣减是典型的并发热点。为避免超卖，系统采用 </w:t>
      </w:r>
      <w:r>
        <w:rPr>
          <w:rFonts w:hint="eastAsia" w:ascii="Times New Roman" w:hAnsi="Times New Roman" w:cs="Times New Roman" w:eastAsiaTheme="minorEastAsia"/>
          <w:sz w:val="24"/>
          <w:szCs w:val="24"/>
        </w:rPr>
        <w:t>Redis</w:t>
      </w:r>
      <w:r>
        <w:rPr>
          <w:rFonts w:hint="eastAsia" w:asciiTheme="minorEastAsia" w:hAnsiTheme="minorEastAsia" w:eastAsiaTheme="minorEastAsia" w:cstheme="minorEastAsia"/>
          <w:sz w:val="24"/>
          <w:szCs w:val="24"/>
        </w:rPr>
        <w:t xml:space="preserve"> 缓存 + </w:t>
      </w:r>
      <w:r>
        <w:rPr>
          <w:rFonts w:hint="eastAsia" w:ascii="Times New Roman" w:hAnsi="Times New Roman" w:cs="Times New Roman" w:eastAsiaTheme="minorEastAsia"/>
          <w:sz w:val="24"/>
          <w:szCs w:val="24"/>
        </w:rPr>
        <w:t>Redisson</w:t>
      </w:r>
      <w:r>
        <w:rPr>
          <w:rFonts w:hint="eastAsia" w:asciiTheme="minorEastAsia" w:hAnsiTheme="minorEastAsia" w:eastAsiaTheme="minorEastAsia" w:cstheme="minorEastAsia"/>
          <w:sz w:val="24"/>
          <w:szCs w:val="24"/>
        </w:rPr>
        <w:t xml:space="preserve"> 分布式锁的组合策略：</w:t>
      </w:r>
    </w:p>
    <w:p w14:paraId="02C15A1D">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缓存策略：停车场总车位与剩余车位数据优先存储在 </w:t>
      </w:r>
      <w:r>
        <w:rPr>
          <w:rFonts w:hint="eastAsia" w:ascii="Times New Roman" w:hAnsi="Times New Roman" w:cs="Times New Roman" w:eastAsiaTheme="minorEastAsia"/>
          <w:sz w:val="24"/>
          <w:szCs w:val="24"/>
        </w:rPr>
        <w:t>Redis</w:t>
      </w:r>
      <w:r>
        <w:rPr>
          <w:rFonts w:hint="eastAsia" w:asciiTheme="minorEastAsia" w:hAnsiTheme="minorEastAsia" w:eastAsiaTheme="minorEastAsia" w:cstheme="minorEastAsia"/>
          <w:sz w:val="24"/>
          <w:szCs w:val="24"/>
        </w:rPr>
        <w:t xml:space="preserve"> 中（</w:t>
      </w:r>
      <w:r>
        <w:rPr>
          <w:rFonts w:hint="eastAsia" w:ascii="Times New Roman" w:hAnsi="Times New Roman" w:cs="Times New Roman" w:eastAsiaTheme="minorEastAsia"/>
          <w:sz w:val="24"/>
          <w:szCs w:val="24"/>
        </w:rPr>
        <w:t>Key: parking:remaining:{lotId}</w:t>
      </w:r>
      <w:r>
        <w:rPr>
          <w:rFonts w:hint="eastAsia" w:asciiTheme="minorEastAsia" w:hAnsiTheme="minorEastAsia" w:eastAsiaTheme="minorEastAsia" w:cstheme="minorEastAsia"/>
          <w:sz w:val="24"/>
          <w:szCs w:val="24"/>
        </w:rPr>
        <w:t>），查询请求不直接穿透数据库。</w:t>
      </w:r>
    </w:p>
    <w:p w14:paraId="3D20C379">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并发控制：车辆入场扣减车位时，订单服务通过 </w:t>
      </w:r>
      <w:r>
        <w:rPr>
          <w:rFonts w:hint="eastAsia" w:ascii="Times New Roman" w:hAnsi="Times New Roman" w:cs="Times New Roman" w:eastAsiaTheme="minorEastAsia"/>
          <w:sz w:val="24"/>
          <w:szCs w:val="24"/>
        </w:rPr>
        <w:t xml:space="preserve">Feign </w:t>
      </w:r>
      <w:r>
        <w:rPr>
          <w:rFonts w:hint="eastAsia" w:asciiTheme="minorEastAsia" w:hAnsiTheme="minorEastAsia" w:eastAsiaTheme="minorEastAsia" w:cstheme="minorEastAsia"/>
          <w:sz w:val="24"/>
          <w:szCs w:val="24"/>
        </w:rPr>
        <w:t>调用停车场服务，停车场服务内部</w:t>
      </w:r>
      <w:r>
        <w:rPr>
          <w:rFonts w:hint="eastAsia" w:ascii="Times New Roman" w:hAnsi="Times New Roman" w:cs="Times New Roman" w:eastAsiaTheme="minorEastAsia"/>
          <w:sz w:val="24"/>
          <w:szCs w:val="24"/>
        </w:rPr>
        <w:t>使用 Redisson</w:t>
      </w:r>
      <w:r>
        <w:rPr>
          <w:rFonts w:hint="eastAsia" w:asciiTheme="minorEastAsia" w:hAnsiTheme="minorEastAsia" w:eastAsiaTheme="minorEastAsia" w:cstheme="minorEastAsia"/>
          <w:sz w:val="24"/>
          <w:szCs w:val="24"/>
        </w:rPr>
        <w:t xml:space="preserve"> 对该停车场 </w:t>
      </w:r>
      <w:r>
        <w:rPr>
          <w:rFonts w:hint="eastAsia" w:ascii="Times New Roman" w:hAnsi="Times New Roman" w:cs="Times New Roman" w:eastAsiaTheme="minorEastAsia"/>
          <w:sz w:val="24"/>
          <w:szCs w:val="24"/>
        </w:rPr>
        <w:t xml:space="preserve">ID </w:t>
      </w:r>
      <w:r>
        <w:rPr>
          <w:rFonts w:hint="eastAsia" w:asciiTheme="minorEastAsia" w:hAnsiTheme="minorEastAsia" w:eastAsiaTheme="minorEastAsia" w:cstheme="minorEastAsia"/>
          <w:sz w:val="24"/>
          <w:szCs w:val="24"/>
        </w:rPr>
        <w:t xml:space="preserve">加分布式锁，确保同一时刻只有一个线程能修改剩余车位数，扣减成功后再异步持久化至 </w:t>
      </w:r>
      <w:r>
        <w:rPr>
          <w:rFonts w:hint="eastAsia" w:ascii="Times New Roman" w:hAnsi="Times New Roman" w:cs="Times New Roman" w:eastAsiaTheme="minorEastAsia"/>
          <w:sz w:val="24"/>
          <w:szCs w:val="24"/>
        </w:rPr>
        <w:t>MySQL</w:t>
      </w:r>
      <w:r>
        <w:rPr>
          <w:rFonts w:hint="eastAsia" w:asciiTheme="minorEastAsia" w:hAnsiTheme="minorEastAsia" w:eastAsiaTheme="minorEastAsia" w:cstheme="minorEastAsia"/>
          <w:sz w:val="24"/>
          <w:szCs w:val="24"/>
        </w:rPr>
        <w:t xml:space="preserve">。 </w:t>
      </w:r>
    </w:p>
    <w:p w14:paraId="531B678C">
      <w:pPr>
        <w:spacing w:line="360" w:lineRule="auto"/>
        <w:rPr>
          <w:rFonts w:hint="eastAsia" w:asciiTheme="minorEastAsia" w:hAnsiTheme="minorEastAsia" w:eastAsiaTheme="minorEastAsia" w:cstheme="minorEastAsia"/>
          <w:sz w:val="24"/>
          <w:szCs w:val="24"/>
        </w:rPr>
      </w:pPr>
    </w:p>
    <w:p w14:paraId="50B89A77">
      <w:pPr>
        <w:spacing w:line="360" w:lineRule="auto"/>
        <w:outlineLvl w:val="1"/>
        <w:rPr>
          <w:rFonts w:hint="eastAsia" w:asciiTheme="minorEastAsia" w:hAnsiTheme="minorEastAsia" w:eastAsiaTheme="minorEastAsia" w:cstheme="minorEastAsia"/>
          <w:sz w:val="24"/>
          <w:szCs w:val="24"/>
        </w:rPr>
      </w:pPr>
      <w:bookmarkStart w:id="15" w:name="_Toc27893"/>
      <w:r>
        <w:rPr>
          <w:rFonts w:hint="eastAsia" w:ascii="黑体" w:hAnsi="黑体" w:eastAsia="黑体" w:cs="黑体"/>
          <w:i w:val="0"/>
          <w:iCs w:val="0"/>
          <w:caps w:val="0"/>
          <w:color w:val="404040"/>
          <w:spacing w:val="0"/>
          <w:sz w:val="28"/>
          <w:szCs w:val="28"/>
        </w:rPr>
        <w:t>（二）分布式事务处理（车辆离场）</w:t>
      </w:r>
      <w:bookmarkEnd w:id="15"/>
      <w:r>
        <w:rPr>
          <w:rFonts w:hint="eastAsia" w:asciiTheme="minorEastAsia" w:hAnsiTheme="minorEastAsia" w:eastAsiaTheme="minorEastAsia" w:cstheme="minorEastAsia"/>
          <w:sz w:val="24"/>
          <w:szCs w:val="24"/>
        </w:rPr>
        <w:t xml:space="preserve"> </w:t>
      </w:r>
    </w:p>
    <w:p w14:paraId="7BB5BDA8">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 xml:space="preserve"> 车辆离场流程涉及订单状态更新（订单服务）与车位余量释放（停车场服务）两个跨服务操作，需保证原子性。本系统选用 </w:t>
      </w:r>
      <w:r>
        <w:rPr>
          <w:rFonts w:hint="eastAsia" w:ascii="Times New Roman" w:hAnsi="Times New Roman" w:cs="Times New Roman" w:eastAsiaTheme="minorEastAsia"/>
          <w:sz w:val="24"/>
          <w:szCs w:val="24"/>
          <w:lang w:eastAsia="zh-CN"/>
        </w:rPr>
        <w:t>Seata TCC</w:t>
      </w:r>
      <w:r>
        <w:rPr>
          <w:rFonts w:hint="eastAsia" w:asciiTheme="minorEastAsia" w:hAnsiTheme="minorEastAsia" w:eastAsiaTheme="minorEastAsia" w:cstheme="minorEastAsia"/>
          <w:sz w:val="24"/>
          <w:szCs w:val="24"/>
          <w:lang w:eastAsia="zh-CN"/>
        </w:rPr>
        <w:t xml:space="preserve"> 模式解决该分布式事务问题：</w:t>
      </w:r>
    </w:p>
    <w:p w14:paraId="12FE5EA8">
      <w:pPr>
        <w:spacing w:line="360" w:lineRule="auto"/>
        <w:rPr>
          <w:rFonts w:hint="eastAsia" w:asciiTheme="minorEastAsia" w:hAnsiTheme="minorEastAsia" w:eastAsiaTheme="minorEastAsia" w:cstheme="minorEastAsia"/>
          <w:sz w:val="24"/>
          <w:szCs w:val="24"/>
          <w:lang w:eastAsia="zh-CN"/>
        </w:rPr>
      </w:pPr>
      <w:r>
        <w:rPr>
          <w:rFonts w:hint="eastAsia" w:ascii="Times New Roman" w:hAnsi="Times New Roman" w:cs="Times New Roman" w:eastAsiaTheme="minorEastAsia"/>
          <w:sz w:val="24"/>
          <w:szCs w:val="24"/>
          <w:lang w:eastAsia="zh-CN"/>
        </w:rPr>
        <w:t xml:space="preserve">Try </w:t>
      </w:r>
      <w:r>
        <w:rPr>
          <w:rFonts w:hint="eastAsia" w:asciiTheme="minorEastAsia" w:hAnsiTheme="minorEastAsia" w:eastAsiaTheme="minorEastAsia" w:cstheme="minorEastAsia"/>
          <w:sz w:val="24"/>
          <w:szCs w:val="24"/>
          <w:lang w:eastAsia="zh-CN"/>
        </w:rPr>
        <w:t>阶段：订单服务将订单状态更新为“结算中”，停车场服务预留车位释放资格（冻结该操作）。</w:t>
      </w:r>
    </w:p>
    <w:p w14:paraId="05F66687">
      <w:pPr>
        <w:spacing w:line="360" w:lineRule="auto"/>
        <w:rPr>
          <w:rFonts w:hint="eastAsia" w:asciiTheme="minorEastAsia" w:hAnsiTheme="minorEastAsia" w:eastAsiaTheme="minorEastAsia" w:cstheme="minorEastAsia"/>
          <w:sz w:val="24"/>
          <w:szCs w:val="24"/>
          <w:lang w:eastAsia="zh-CN"/>
        </w:rPr>
      </w:pPr>
      <w:r>
        <w:rPr>
          <w:rFonts w:hint="eastAsia" w:ascii="Times New Roman" w:hAnsi="Times New Roman" w:cs="Times New Roman" w:eastAsiaTheme="minorEastAsia"/>
          <w:sz w:val="24"/>
          <w:szCs w:val="24"/>
          <w:lang w:eastAsia="zh-CN"/>
        </w:rPr>
        <w:t>Confirm</w:t>
      </w:r>
      <w:r>
        <w:rPr>
          <w:rFonts w:hint="eastAsia" w:asciiTheme="minorEastAsia" w:hAnsiTheme="minorEastAsia" w:eastAsiaTheme="minorEastAsia" w:cstheme="minorEastAsia"/>
          <w:sz w:val="24"/>
          <w:szCs w:val="24"/>
          <w:lang w:eastAsia="zh-CN"/>
        </w:rPr>
        <w:t xml:space="preserve"> 阶段：计费完成且支付成功后，订单状态变更为“已完成”，停车场服务正式执行车位余量 </w:t>
      </w:r>
      <w:r>
        <w:rPr>
          <w:rFonts w:hint="eastAsia" w:ascii="Times New Roman" w:hAnsi="Times New Roman" w:cs="Times New Roman" w:eastAsiaTheme="minorEastAsia"/>
          <w:sz w:val="24"/>
          <w:szCs w:val="24"/>
          <w:lang w:eastAsia="zh-CN"/>
        </w:rPr>
        <w:t>+1</w:t>
      </w:r>
      <w:r>
        <w:rPr>
          <w:rFonts w:hint="eastAsia" w:asciiTheme="minorEastAsia" w:hAnsiTheme="minorEastAsia" w:eastAsiaTheme="minorEastAsia" w:cstheme="minorEastAsia"/>
          <w:sz w:val="24"/>
          <w:szCs w:val="24"/>
          <w:lang w:eastAsia="zh-CN"/>
        </w:rPr>
        <w:t>。</w:t>
      </w:r>
    </w:p>
    <w:p w14:paraId="4D28E648">
      <w:pPr>
        <w:spacing w:line="360" w:lineRule="auto"/>
        <w:rPr>
          <w:rFonts w:hint="eastAsia" w:asciiTheme="minorEastAsia" w:hAnsiTheme="minorEastAsia" w:eastAsiaTheme="minorEastAsia" w:cstheme="minorEastAsia"/>
          <w:sz w:val="24"/>
          <w:szCs w:val="24"/>
        </w:rPr>
      </w:pPr>
      <w:r>
        <w:rPr>
          <w:rFonts w:hint="eastAsia" w:ascii="Times New Roman" w:hAnsi="Times New Roman" w:cs="Times New Roman" w:eastAsiaTheme="minorEastAsia"/>
          <w:sz w:val="24"/>
          <w:szCs w:val="24"/>
          <w:lang w:eastAsia="zh-CN"/>
        </w:rPr>
        <w:t>Cancel</w:t>
      </w:r>
      <w:r>
        <w:rPr>
          <w:rFonts w:hint="eastAsia" w:asciiTheme="minorEastAsia" w:hAnsiTheme="minorEastAsia" w:eastAsiaTheme="minorEastAsia" w:cstheme="minorEastAsia"/>
          <w:sz w:val="24"/>
          <w:szCs w:val="24"/>
          <w:lang w:eastAsia="zh-CN"/>
        </w:rPr>
        <w:t xml:space="preserve"> 阶段：若支付失败或异常，订单状态回滚为“进行中”，停车场服务释放预留资格。</w:t>
      </w:r>
    </w:p>
    <w:p w14:paraId="25BB7BD5">
      <w:pPr>
        <w:spacing w:line="360" w:lineRule="auto"/>
        <w:rPr>
          <w:rFonts w:hint="eastAsia" w:asciiTheme="minorEastAsia" w:hAnsiTheme="minorEastAsia" w:eastAsiaTheme="minorEastAsia" w:cstheme="minorEastAsia"/>
          <w:sz w:val="24"/>
          <w:szCs w:val="24"/>
        </w:rPr>
      </w:pPr>
    </w:p>
    <w:p w14:paraId="34FE5D2F">
      <w:pPr>
        <w:spacing w:line="360" w:lineRule="auto"/>
        <w:outlineLvl w:val="1"/>
        <w:rPr>
          <w:rFonts w:hint="eastAsia" w:asciiTheme="minorEastAsia" w:hAnsiTheme="minorEastAsia" w:eastAsiaTheme="minorEastAsia" w:cstheme="minorEastAsia"/>
          <w:sz w:val="24"/>
          <w:szCs w:val="24"/>
        </w:rPr>
      </w:pPr>
      <w:bookmarkStart w:id="16" w:name="_Toc32047"/>
      <w:r>
        <w:rPr>
          <w:rFonts w:hint="eastAsia" w:ascii="黑体" w:hAnsi="黑体" w:eastAsia="黑体" w:cs="黑体"/>
          <w:i w:val="0"/>
          <w:iCs w:val="0"/>
          <w:caps w:val="0"/>
          <w:color w:val="404040"/>
          <w:spacing w:val="0"/>
          <w:sz w:val="28"/>
          <w:szCs w:val="28"/>
        </w:rPr>
        <w:t>（三）异步消息驱动架构</w:t>
      </w:r>
      <w:bookmarkEnd w:id="16"/>
      <w:r>
        <w:rPr>
          <w:rFonts w:hint="eastAsia" w:ascii="黑体" w:hAnsi="黑体" w:eastAsia="黑体" w:cs="黑体"/>
          <w:i w:val="0"/>
          <w:iCs w:val="0"/>
          <w:caps w:val="0"/>
          <w:color w:val="404040"/>
          <w:spacing w:val="0"/>
          <w:sz w:val="28"/>
          <w:szCs w:val="28"/>
        </w:rPr>
        <w:t xml:space="preserve"> </w:t>
      </w:r>
      <w:r>
        <w:rPr>
          <w:rFonts w:hint="eastAsia" w:asciiTheme="minorEastAsia" w:hAnsiTheme="minorEastAsia" w:eastAsiaTheme="minorEastAsia" w:cstheme="minorEastAsia"/>
          <w:sz w:val="24"/>
          <w:szCs w:val="24"/>
        </w:rPr>
        <w:t xml:space="preserve"> </w:t>
      </w:r>
    </w:p>
    <w:p w14:paraId="4E11850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 xml:space="preserve">  </w:t>
      </w:r>
      <w:r>
        <w:rPr>
          <w:rFonts w:hint="eastAsia" w:asciiTheme="minorEastAsia" w:hAnsiTheme="minorEastAsia" w:eastAsiaTheme="minorEastAsia" w:cstheme="minorEastAsia"/>
          <w:sz w:val="24"/>
          <w:szCs w:val="24"/>
        </w:rPr>
        <w:t xml:space="preserve">针对地磁感应触发的车辆入场/离场事件，系统利用 </w:t>
      </w:r>
      <w:r>
        <w:rPr>
          <w:rFonts w:hint="eastAsia" w:ascii="Times New Roman" w:hAnsi="Times New Roman" w:cs="Times New Roman" w:eastAsiaTheme="minorEastAsia"/>
          <w:sz w:val="24"/>
          <w:szCs w:val="24"/>
        </w:rPr>
        <w:t>RocketMQ</w:t>
      </w:r>
      <w:r>
        <w:rPr>
          <w:rFonts w:hint="eastAsia" w:asciiTheme="minorEastAsia" w:hAnsiTheme="minorEastAsia" w:eastAsiaTheme="minorEastAsia" w:cstheme="minorEastAsia"/>
          <w:sz w:val="24"/>
          <w:szCs w:val="24"/>
        </w:rPr>
        <w:t xml:space="preserve"> 进行异步处理。当事件发生时，</w:t>
      </w:r>
      <w:r>
        <w:rPr>
          <w:rFonts w:hint="eastAsia" w:ascii="Times New Roman" w:hAnsi="Times New Roman" w:cs="Times New Roman" w:eastAsiaTheme="minorEastAsia"/>
          <w:sz w:val="24"/>
          <w:szCs w:val="24"/>
        </w:rPr>
        <w:t xml:space="preserve">API </w:t>
      </w:r>
      <w:r>
        <w:rPr>
          <w:rFonts w:hint="eastAsia" w:asciiTheme="minorEastAsia" w:hAnsiTheme="minorEastAsia" w:eastAsiaTheme="minorEastAsia" w:cstheme="minorEastAsia"/>
          <w:sz w:val="24"/>
          <w:szCs w:val="24"/>
        </w:rPr>
        <w:t xml:space="preserve">接口迅速返回成功响应，同时将事件消息投递至 </w:t>
      </w:r>
      <w:r>
        <w:rPr>
          <w:rFonts w:hint="eastAsia" w:ascii="Times New Roman" w:hAnsi="Times New Roman" w:cs="Times New Roman" w:eastAsiaTheme="minorEastAsia"/>
          <w:sz w:val="24"/>
          <w:szCs w:val="24"/>
        </w:rPr>
        <w:t>RocketMQ</w:t>
      </w:r>
      <w:r>
        <w:rPr>
          <w:rFonts w:hint="eastAsia" w:asciiTheme="minorEastAsia" w:hAnsiTheme="minorEastAsia" w:eastAsiaTheme="minorEastAsia" w:cstheme="minorEastAsia"/>
          <w:sz w:val="24"/>
          <w:szCs w:val="24"/>
        </w:rPr>
        <w:t xml:space="preserve"> 的 </w:t>
      </w:r>
      <w:r>
        <w:rPr>
          <w:rFonts w:hint="eastAsia" w:ascii="Times New Roman" w:hAnsi="Times New Roman" w:cs="Times New Roman" w:eastAsiaTheme="minorEastAsia"/>
          <w:sz w:val="24"/>
          <w:szCs w:val="24"/>
        </w:rPr>
        <w:t>parking-event Topic</w:t>
      </w:r>
      <w:r>
        <w:rPr>
          <w:rFonts w:hint="eastAsia" w:asciiTheme="minorEastAsia" w:hAnsiTheme="minorEastAsia" w:eastAsiaTheme="minorEastAsia" w:cstheme="minorEastAsia"/>
          <w:sz w:val="24"/>
          <w:szCs w:val="24"/>
        </w:rPr>
        <w:t>。消息服务后台消费该消息，完成数据库持久化、操作日志记录等耗时操作。此设计显著提升了系统的吞吐量与响应速度。</w:t>
      </w:r>
      <w:r>
        <w:rPr>
          <w:rFonts w:hint="eastAsia" w:asciiTheme="minorEastAsia" w:hAnsiTheme="minorEastAsia" w:eastAsiaTheme="minorEastAsia" w:cstheme="minorEastAsia"/>
          <w:sz w:val="24"/>
          <w:szCs w:val="24"/>
        </w:rPr>
        <w:br w:type="page"/>
      </w:r>
    </w:p>
    <w:p w14:paraId="4FE126F1">
      <w:pPr>
        <w:spacing w:line="360" w:lineRule="auto"/>
        <w:rPr>
          <w:rFonts w:hint="eastAsia" w:asciiTheme="minorEastAsia" w:hAnsiTheme="minorEastAsia" w:eastAsiaTheme="minorEastAsia" w:cstheme="minorEastAsia"/>
          <w:sz w:val="24"/>
          <w:szCs w:val="24"/>
        </w:rPr>
      </w:pPr>
    </w:p>
    <w:p w14:paraId="162E18C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outlineLvl w:val="0"/>
        <w:rPr>
          <w:rFonts w:hint="eastAsia" w:asciiTheme="minorEastAsia" w:hAnsiTheme="minorEastAsia" w:eastAsiaTheme="minorEastAsia" w:cstheme="minorEastAsia"/>
          <w:sz w:val="24"/>
          <w:szCs w:val="24"/>
        </w:rPr>
      </w:pPr>
      <w:bookmarkStart w:id="17" w:name="_Toc17566"/>
      <w:r>
        <w:rPr>
          <w:rFonts w:hint="eastAsia" w:ascii="黑体" w:hAnsi="黑体" w:eastAsia="黑体" w:cs="黑体"/>
          <w:sz w:val="32"/>
          <w:szCs w:val="32"/>
        </w:rPr>
        <w:t>数据模型与部署设计</w:t>
      </w:r>
      <w:bookmarkEnd w:id="17"/>
    </w:p>
    <w:p w14:paraId="47555AE2">
      <w:pPr>
        <w:spacing w:line="360" w:lineRule="auto"/>
        <w:rPr>
          <w:rFonts w:hint="eastAsia" w:asciiTheme="minorEastAsia" w:hAnsiTheme="minorEastAsia" w:eastAsiaTheme="minorEastAsia" w:cstheme="minorEastAsia"/>
          <w:sz w:val="24"/>
          <w:szCs w:val="24"/>
        </w:rPr>
      </w:pPr>
    </w:p>
    <w:p w14:paraId="1D38C14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outlineLvl w:val="1"/>
        <w:rPr>
          <w:rFonts w:hint="eastAsia" w:asciiTheme="minorEastAsia" w:hAnsiTheme="minorEastAsia" w:eastAsiaTheme="minorEastAsia" w:cstheme="minorEastAsia"/>
          <w:sz w:val="24"/>
          <w:szCs w:val="24"/>
        </w:rPr>
      </w:pPr>
      <w:bookmarkStart w:id="18" w:name="_Toc2797"/>
      <w:r>
        <w:rPr>
          <w:rFonts w:hint="eastAsia" w:ascii="黑体" w:hAnsi="黑体" w:eastAsia="黑体" w:cs="黑体"/>
          <w:i w:val="0"/>
          <w:iCs w:val="0"/>
          <w:caps w:val="0"/>
          <w:color w:val="404040"/>
          <w:spacing w:val="0"/>
          <w:sz w:val="28"/>
          <w:szCs w:val="28"/>
        </w:rPr>
        <w:t>（一） 核心数据模型</w:t>
      </w:r>
      <w:bookmarkEnd w:id="18"/>
      <w:r>
        <w:rPr>
          <w:rFonts w:hint="eastAsia" w:ascii="黑体" w:hAnsi="黑体" w:eastAsia="黑体" w:cs="黑体"/>
          <w:i w:val="0"/>
          <w:iCs w:val="0"/>
          <w:caps w:val="0"/>
          <w:color w:val="404040"/>
          <w:spacing w:val="0"/>
          <w:sz w:val="28"/>
          <w:szCs w:val="28"/>
        </w:rPr>
        <w:t xml:space="preserve"> </w:t>
      </w:r>
      <w:r>
        <w:rPr>
          <w:rFonts w:hint="eastAsia" w:asciiTheme="minorEastAsia" w:hAnsiTheme="minorEastAsia" w:eastAsiaTheme="minorEastAsia" w:cstheme="minorEastAsia"/>
          <w:sz w:val="24"/>
          <w:szCs w:val="24"/>
        </w:rPr>
        <w:t xml:space="preserve"> </w:t>
      </w:r>
    </w:p>
    <w:p w14:paraId="0F76CEB3">
      <w:pPr>
        <w:spacing w:line="360" w:lineRule="auto"/>
        <w:rPr>
          <w:rFonts w:hint="eastAsia" w:ascii="Times New Roman" w:hAnsi="Times New Roman" w:cs="Times New Roman" w:eastAsiaTheme="minorEastAsia"/>
          <w:i w:val="0"/>
          <w:iCs w:val="0"/>
          <w:caps w:val="0"/>
          <w:color w:val="404040"/>
          <w:spacing w:val="0"/>
          <w:sz w:val="24"/>
          <w:szCs w:val="24"/>
          <w:lang w:val="en-US" w:eastAsia="zh-CN"/>
        </w:rPr>
      </w:pPr>
      <w:r>
        <w:rPr>
          <w:rFonts w:hint="eastAsia" w:ascii="Times New Roman" w:hAnsi="Times New Roman" w:cs="Times New Roman" w:eastAsiaTheme="minorEastAsia"/>
          <w:i w:val="0"/>
          <w:iCs w:val="0"/>
          <w:caps w:val="0"/>
          <w:color w:val="404040"/>
          <w:spacing w:val="0"/>
          <w:sz w:val="24"/>
          <w:szCs w:val="24"/>
          <w:lang w:val="en-US" w:eastAsia="zh-CN"/>
        </w:rPr>
        <w:t>系统遵循每微服务独立数据库的原则。关键实体关系如下：</w:t>
      </w:r>
    </w:p>
    <w:p w14:paraId="3E93480B">
      <w:pPr>
        <w:spacing w:line="360" w:lineRule="auto"/>
        <w:rPr>
          <w:rFonts w:hint="eastAsia" w:ascii="Times New Roman" w:hAnsi="Times New Roman" w:cs="Times New Roman" w:eastAsiaTheme="minorEastAsia"/>
          <w:i w:val="0"/>
          <w:iCs w:val="0"/>
          <w:caps w:val="0"/>
          <w:color w:val="404040"/>
          <w:spacing w:val="0"/>
          <w:sz w:val="24"/>
          <w:szCs w:val="24"/>
          <w:lang w:val="en-US" w:eastAsia="zh-CN"/>
        </w:rPr>
      </w:pPr>
      <w:r>
        <w:rPr>
          <w:rFonts w:hint="eastAsia" w:ascii="Times New Roman" w:hAnsi="Times New Roman" w:cs="Times New Roman" w:eastAsiaTheme="minorEastAsia"/>
          <w:sz w:val="24"/>
          <w:szCs w:val="24"/>
          <w:lang w:val="en-US" w:eastAsia="zh-CN"/>
        </w:rPr>
        <w:t>User (1) ---- (N) Car：</w:t>
      </w:r>
      <w:r>
        <w:rPr>
          <w:rFonts w:hint="eastAsia" w:ascii="Times New Roman" w:hAnsi="Times New Roman" w:cs="Times New Roman" w:eastAsiaTheme="minorEastAsia"/>
          <w:i w:val="0"/>
          <w:iCs w:val="0"/>
          <w:caps w:val="0"/>
          <w:color w:val="404040"/>
          <w:spacing w:val="0"/>
          <w:sz w:val="24"/>
          <w:szCs w:val="24"/>
          <w:lang w:val="en-US" w:eastAsia="zh-CN"/>
        </w:rPr>
        <w:t>一个用户可绑定多辆车。</w:t>
      </w:r>
    </w:p>
    <w:p w14:paraId="4E1714FD">
      <w:pPr>
        <w:spacing w:line="360" w:lineRule="auto"/>
        <w:rPr>
          <w:rFonts w:hint="eastAsia" w:ascii="Times New Roman" w:hAnsi="Times New Roman" w:cs="Times New Roman" w:eastAsiaTheme="minorEastAsia"/>
          <w:i w:val="0"/>
          <w:iCs w:val="0"/>
          <w:caps w:val="0"/>
          <w:color w:val="404040"/>
          <w:spacing w:val="0"/>
          <w:sz w:val="24"/>
          <w:szCs w:val="24"/>
          <w:lang w:val="en-US" w:eastAsia="zh-CN"/>
        </w:rPr>
      </w:pPr>
      <w:r>
        <w:rPr>
          <w:rFonts w:hint="eastAsia" w:ascii="Times New Roman" w:hAnsi="Times New Roman" w:cs="Times New Roman" w:eastAsiaTheme="minorEastAsia"/>
          <w:sz w:val="24"/>
          <w:szCs w:val="24"/>
          <w:lang w:val="en-US" w:eastAsia="zh-CN"/>
        </w:rPr>
        <w:t>ParkingLot (1) ---- (N) ParkingOrder：</w:t>
      </w:r>
      <w:r>
        <w:rPr>
          <w:rFonts w:hint="eastAsia" w:ascii="Times New Roman" w:hAnsi="Times New Roman" w:cs="Times New Roman" w:eastAsiaTheme="minorEastAsia"/>
          <w:i w:val="0"/>
          <w:iCs w:val="0"/>
          <w:caps w:val="0"/>
          <w:color w:val="404040"/>
          <w:spacing w:val="0"/>
          <w:sz w:val="24"/>
          <w:szCs w:val="24"/>
          <w:lang w:val="en-US" w:eastAsia="zh-CN"/>
        </w:rPr>
        <w:t>一个停车场对应多条停车订单记录。</w:t>
      </w:r>
    </w:p>
    <w:p w14:paraId="0639F7E1">
      <w:pPr>
        <w:spacing w:line="360" w:lineRule="auto"/>
        <w:rPr>
          <w:rFonts w:hint="eastAsia" w:asciiTheme="minorEastAsia" w:hAnsiTheme="minorEastAsia" w:eastAsiaTheme="minorEastAsia" w:cstheme="minorEastAsia"/>
          <w:sz w:val="24"/>
          <w:szCs w:val="24"/>
        </w:rPr>
      </w:pPr>
      <w:r>
        <w:rPr>
          <w:rFonts w:hint="eastAsia" w:ascii="Times New Roman" w:hAnsi="Times New Roman" w:cs="Times New Roman" w:eastAsiaTheme="minorEastAsia"/>
          <w:i w:val="0"/>
          <w:iCs w:val="0"/>
          <w:caps w:val="0"/>
          <w:color w:val="404040"/>
          <w:spacing w:val="0"/>
          <w:sz w:val="24"/>
          <w:szCs w:val="24"/>
          <w:lang w:val="en-US" w:eastAsia="zh-CN"/>
        </w:rPr>
        <w:t>核心表</w:t>
      </w:r>
      <w:r>
        <w:rPr>
          <w:rFonts w:hint="eastAsia" w:ascii="Times New Roman" w:hAnsi="Times New Roman" w:cs="Times New Roman" w:eastAsiaTheme="minorEastAsia"/>
          <w:sz w:val="24"/>
          <w:szCs w:val="24"/>
          <w:lang w:val="en-US" w:eastAsia="zh-CN"/>
        </w:rPr>
        <w:t xml:space="preserve"> parking_order</w:t>
      </w:r>
      <w:r>
        <w:rPr>
          <w:rFonts w:hint="eastAsia" w:ascii="Times New Roman" w:hAnsi="Times New Roman" w:cs="Times New Roman" w:eastAsiaTheme="minorEastAsia"/>
          <w:i w:val="0"/>
          <w:iCs w:val="0"/>
          <w:caps w:val="0"/>
          <w:color w:val="404040"/>
          <w:spacing w:val="0"/>
          <w:sz w:val="24"/>
          <w:szCs w:val="24"/>
          <w:lang w:val="en-US" w:eastAsia="zh-CN"/>
        </w:rPr>
        <w:t xml:space="preserve"> 记录了车辆进出时间、车牌号及费用状态，是计费与统计的核心依据；</w:t>
      </w:r>
      <w:r>
        <w:rPr>
          <w:rFonts w:hint="eastAsia" w:ascii="Times New Roman" w:hAnsi="Times New Roman" w:cs="Times New Roman" w:eastAsiaTheme="minorEastAsia"/>
          <w:sz w:val="24"/>
          <w:szCs w:val="24"/>
          <w:lang w:val="en-US" w:eastAsia="zh-CN"/>
        </w:rPr>
        <w:t>p</w:t>
      </w:r>
      <w:r>
        <w:rPr>
          <w:rFonts w:hint="eastAsia" w:ascii="Times New Roman" w:hAnsi="Times New Roman" w:cs="Times New Roman" w:eastAsiaTheme="minorEastAsia"/>
          <w:sz w:val="24"/>
          <w:szCs w:val="24"/>
          <w:lang w:val="en-US" w:eastAsia="zh-CN"/>
        </w:rPr>
        <w:t>arking_lot</w:t>
      </w:r>
      <w:r>
        <w:rPr>
          <w:rFonts w:hint="eastAsia" w:ascii="Times New Roman" w:hAnsi="Times New Roman" w:cs="Times New Roman" w:eastAsiaTheme="minorEastAsia"/>
          <w:i w:val="0"/>
          <w:iCs w:val="0"/>
          <w:caps w:val="0"/>
          <w:color w:val="404040"/>
          <w:spacing w:val="0"/>
          <w:sz w:val="24"/>
          <w:szCs w:val="24"/>
          <w:lang w:val="en-US" w:eastAsia="zh-CN"/>
        </w:rPr>
        <w:t xml:space="preserve"> 存储了停车场的坐标信息及费率，支撑地图检索与推荐功能。</w:t>
      </w:r>
      <w:r>
        <w:rPr>
          <w:rFonts w:hint="eastAsia" w:asciiTheme="minorEastAsia" w:hAnsiTheme="minorEastAsia" w:eastAsiaTheme="minorEastAsia" w:cstheme="minorEastAsia"/>
          <w:sz w:val="24"/>
          <w:szCs w:val="24"/>
        </w:rPr>
        <w:t xml:space="preserve">  </w:t>
      </w:r>
    </w:p>
    <w:p w14:paraId="63491B9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outlineLvl w:val="1"/>
        <w:rPr>
          <w:rFonts w:hint="eastAsia" w:asciiTheme="minorEastAsia" w:hAnsiTheme="minorEastAsia" w:eastAsiaTheme="minorEastAsia" w:cstheme="minorEastAsia"/>
          <w:sz w:val="24"/>
          <w:szCs w:val="24"/>
        </w:rPr>
      </w:pPr>
      <w:bookmarkStart w:id="19" w:name="_Toc4959"/>
      <w:r>
        <w:rPr>
          <w:rFonts w:hint="eastAsia" w:ascii="黑体" w:hAnsi="黑体" w:eastAsia="黑体" w:cs="黑体"/>
          <w:i w:val="0"/>
          <w:iCs w:val="0"/>
          <w:caps w:val="0"/>
          <w:color w:val="404040"/>
          <w:spacing w:val="0"/>
          <w:sz w:val="28"/>
          <w:szCs w:val="28"/>
        </w:rPr>
        <w:t>（二）容器化部署方案</w:t>
      </w:r>
      <w:bookmarkEnd w:id="19"/>
      <w:r>
        <w:rPr>
          <w:rFonts w:hint="eastAsia" w:asciiTheme="minorEastAsia" w:hAnsiTheme="minorEastAsia" w:eastAsiaTheme="minorEastAsia" w:cstheme="minorEastAsia"/>
          <w:sz w:val="24"/>
          <w:szCs w:val="24"/>
        </w:rPr>
        <w:t xml:space="preserve"> </w:t>
      </w:r>
    </w:p>
    <w:p w14:paraId="3F655917">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为满足竞赛演示环境的快速搭建与一致性要求，系统采用 </w:t>
      </w:r>
      <w:r>
        <w:rPr>
          <w:rFonts w:hint="eastAsia" w:ascii="Times New Roman" w:hAnsi="Times New Roman" w:cs="Times New Roman" w:eastAsiaTheme="minorEastAsia"/>
          <w:sz w:val="24"/>
          <w:szCs w:val="24"/>
        </w:rPr>
        <w:t xml:space="preserve">Docker Compose </w:t>
      </w:r>
      <w:r>
        <w:rPr>
          <w:rFonts w:hint="eastAsia" w:asciiTheme="minorEastAsia" w:hAnsiTheme="minorEastAsia" w:eastAsiaTheme="minorEastAsia" w:cstheme="minorEastAsia"/>
          <w:sz w:val="24"/>
          <w:szCs w:val="24"/>
        </w:rPr>
        <w:t xml:space="preserve">进行容器化编排。编排文件定义了 </w:t>
      </w:r>
      <w:r>
        <w:rPr>
          <w:rFonts w:hint="eastAsia" w:ascii="Times New Roman" w:hAnsi="Times New Roman" w:cs="Times New Roman" w:eastAsiaTheme="minorEastAsia"/>
          <w:sz w:val="24"/>
          <w:szCs w:val="24"/>
        </w:rPr>
        <w:t>Nacos、MySQL、Redis、RocketMQ</w:t>
      </w:r>
      <w:r>
        <w:rPr>
          <w:rFonts w:hint="eastAsia" w:asciiTheme="minorEastAsia" w:hAnsiTheme="minorEastAsia" w:eastAsiaTheme="minorEastAsia" w:cstheme="minorEastAsia"/>
          <w:sz w:val="24"/>
          <w:szCs w:val="24"/>
        </w:rPr>
        <w:t xml:space="preserve"> 及所有业务微服务容器，支持一键启动。生产环境建议迁移至 </w:t>
      </w:r>
      <w:r>
        <w:rPr>
          <w:rFonts w:hint="eastAsia" w:ascii="Times New Roman" w:hAnsi="Times New Roman" w:cs="Times New Roman" w:eastAsiaTheme="minorEastAsia"/>
          <w:sz w:val="24"/>
          <w:szCs w:val="24"/>
        </w:rPr>
        <w:t>Kubernetes (K8s)</w:t>
      </w:r>
      <w:r>
        <w:rPr>
          <w:rFonts w:hint="eastAsia" w:asciiTheme="minorEastAsia" w:hAnsiTheme="minorEastAsia" w:eastAsiaTheme="minorEastAsia" w:cstheme="minorEastAsia"/>
          <w:sz w:val="24"/>
          <w:szCs w:val="24"/>
        </w:rPr>
        <w:t xml:space="preserve"> 以增强运维能力。</w:t>
      </w:r>
    </w:p>
    <w:p w14:paraId="346880FD">
      <w:pPr>
        <w:keepNext w:val="0"/>
        <w:keepLines w:val="0"/>
        <w:pageBreakBefore w:val="0"/>
        <w:widowControl w:val="0"/>
        <w:kinsoku/>
        <w:wordWrap/>
        <w:overflowPunct/>
        <w:topLinePunct w:val="0"/>
        <w:autoSpaceDE/>
        <w:autoSpaceDN/>
        <w:bidi w:val="0"/>
        <w:adjustRightInd/>
        <w:snapToGrid/>
        <w:spacing w:before="157" w:beforeLines="50" w:after="313" w:afterLines="100" w:line="240" w:lineRule="auto"/>
        <w:jc w:val="center"/>
        <w:textAlignment w:val="auto"/>
        <w:rPr>
          <w:rFonts w:hint="eastAsia" w:ascii="黑体" w:hAnsi="黑体" w:eastAsia="黑体" w:cs="黑体"/>
          <w:sz w:val="32"/>
          <w:szCs w:val="32"/>
        </w:rPr>
      </w:pPr>
    </w:p>
    <w:p w14:paraId="4304590C">
      <w:pPr>
        <w:keepNext w:val="0"/>
        <w:keepLines w:val="0"/>
        <w:pageBreakBefore w:val="0"/>
        <w:widowControl w:val="0"/>
        <w:kinsoku/>
        <w:wordWrap/>
        <w:overflowPunct/>
        <w:topLinePunct w:val="0"/>
        <w:autoSpaceDE/>
        <w:autoSpaceDN/>
        <w:bidi w:val="0"/>
        <w:adjustRightInd/>
        <w:snapToGrid/>
        <w:spacing w:before="157" w:beforeLines="50" w:after="313" w:afterLines="100" w:line="240" w:lineRule="auto"/>
        <w:jc w:val="center"/>
        <w:textAlignment w:val="auto"/>
        <w:rPr>
          <w:rFonts w:hint="eastAsia" w:ascii="黑体" w:hAnsi="黑体" w:eastAsia="黑体" w:cs="黑体"/>
          <w:sz w:val="32"/>
          <w:szCs w:val="32"/>
        </w:rPr>
      </w:pPr>
    </w:p>
    <w:p w14:paraId="7B7C2212">
      <w:pPr>
        <w:keepNext w:val="0"/>
        <w:keepLines w:val="0"/>
        <w:pageBreakBefore w:val="0"/>
        <w:widowControl w:val="0"/>
        <w:kinsoku/>
        <w:wordWrap/>
        <w:overflowPunct/>
        <w:topLinePunct w:val="0"/>
        <w:autoSpaceDE/>
        <w:autoSpaceDN/>
        <w:bidi w:val="0"/>
        <w:adjustRightInd/>
        <w:snapToGrid/>
        <w:spacing w:before="157" w:beforeLines="50" w:after="313" w:afterLines="100" w:line="240" w:lineRule="auto"/>
        <w:jc w:val="center"/>
        <w:textAlignment w:val="auto"/>
        <w:rPr>
          <w:rFonts w:hint="eastAsia" w:ascii="黑体" w:hAnsi="黑体" w:eastAsia="黑体" w:cs="黑体"/>
          <w:sz w:val="32"/>
          <w:szCs w:val="32"/>
        </w:rPr>
      </w:pPr>
    </w:p>
    <w:p w14:paraId="1A8BAB75">
      <w:pPr>
        <w:keepNext w:val="0"/>
        <w:keepLines w:val="0"/>
        <w:pageBreakBefore w:val="0"/>
        <w:widowControl w:val="0"/>
        <w:kinsoku/>
        <w:wordWrap/>
        <w:overflowPunct/>
        <w:topLinePunct w:val="0"/>
        <w:autoSpaceDE/>
        <w:autoSpaceDN/>
        <w:bidi w:val="0"/>
        <w:adjustRightInd/>
        <w:snapToGrid/>
        <w:spacing w:before="157" w:beforeLines="50" w:after="313" w:afterLines="100" w:line="240" w:lineRule="auto"/>
        <w:jc w:val="center"/>
        <w:textAlignment w:val="auto"/>
        <w:rPr>
          <w:rFonts w:hint="eastAsia" w:ascii="黑体" w:hAnsi="黑体" w:eastAsia="黑体" w:cs="黑体"/>
          <w:sz w:val="32"/>
          <w:szCs w:val="32"/>
        </w:rPr>
      </w:pPr>
    </w:p>
    <w:p w14:paraId="159E41BC">
      <w:pPr>
        <w:keepNext w:val="0"/>
        <w:keepLines w:val="0"/>
        <w:pageBreakBefore w:val="0"/>
        <w:widowControl w:val="0"/>
        <w:kinsoku/>
        <w:wordWrap/>
        <w:overflowPunct/>
        <w:topLinePunct w:val="0"/>
        <w:autoSpaceDE/>
        <w:autoSpaceDN/>
        <w:bidi w:val="0"/>
        <w:adjustRightInd/>
        <w:snapToGrid/>
        <w:spacing w:before="157" w:beforeLines="50" w:after="313" w:afterLines="100" w:line="240" w:lineRule="auto"/>
        <w:jc w:val="center"/>
        <w:textAlignment w:val="auto"/>
        <w:rPr>
          <w:rFonts w:hint="eastAsia" w:ascii="黑体" w:hAnsi="黑体" w:eastAsia="黑体" w:cs="黑体"/>
          <w:sz w:val="32"/>
          <w:szCs w:val="32"/>
        </w:rPr>
      </w:pPr>
    </w:p>
    <w:p w14:paraId="531EA84E">
      <w:pPr>
        <w:keepNext w:val="0"/>
        <w:keepLines w:val="0"/>
        <w:pageBreakBefore w:val="0"/>
        <w:widowControl w:val="0"/>
        <w:kinsoku/>
        <w:wordWrap/>
        <w:overflowPunct/>
        <w:topLinePunct w:val="0"/>
        <w:autoSpaceDE/>
        <w:autoSpaceDN/>
        <w:bidi w:val="0"/>
        <w:adjustRightInd/>
        <w:snapToGrid/>
        <w:spacing w:before="157" w:beforeLines="50" w:after="313" w:afterLines="100" w:line="240" w:lineRule="auto"/>
        <w:jc w:val="center"/>
        <w:textAlignment w:val="auto"/>
        <w:rPr>
          <w:rFonts w:hint="eastAsia" w:ascii="黑体" w:hAnsi="黑体" w:eastAsia="黑体" w:cs="黑体"/>
          <w:sz w:val="32"/>
          <w:szCs w:val="32"/>
        </w:rPr>
      </w:pPr>
    </w:p>
    <w:p w14:paraId="0B27C24B">
      <w:pPr>
        <w:keepNext w:val="0"/>
        <w:keepLines w:val="0"/>
        <w:pageBreakBefore w:val="0"/>
        <w:widowControl w:val="0"/>
        <w:kinsoku/>
        <w:wordWrap/>
        <w:overflowPunct/>
        <w:topLinePunct w:val="0"/>
        <w:autoSpaceDE/>
        <w:autoSpaceDN/>
        <w:bidi w:val="0"/>
        <w:adjustRightInd/>
        <w:snapToGrid/>
        <w:spacing w:before="157" w:beforeLines="50" w:after="313" w:afterLines="100" w:line="240" w:lineRule="auto"/>
        <w:jc w:val="center"/>
        <w:textAlignment w:val="auto"/>
        <w:rPr>
          <w:rFonts w:hint="eastAsia" w:ascii="黑体" w:hAnsi="黑体" w:eastAsia="黑体" w:cs="黑体"/>
          <w:sz w:val="32"/>
          <w:szCs w:val="32"/>
        </w:rPr>
      </w:pPr>
    </w:p>
    <w:p w14:paraId="4CBE06F7">
      <w:pPr>
        <w:keepNext w:val="0"/>
        <w:keepLines w:val="0"/>
        <w:pageBreakBefore w:val="0"/>
        <w:widowControl w:val="0"/>
        <w:kinsoku/>
        <w:wordWrap/>
        <w:overflowPunct/>
        <w:topLinePunct w:val="0"/>
        <w:autoSpaceDE/>
        <w:autoSpaceDN/>
        <w:bidi w:val="0"/>
        <w:adjustRightInd/>
        <w:snapToGrid/>
        <w:spacing w:before="157" w:beforeLines="50" w:after="313" w:afterLines="100" w:line="240" w:lineRule="auto"/>
        <w:jc w:val="center"/>
        <w:textAlignment w:val="auto"/>
        <w:outlineLvl w:val="0"/>
        <w:rPr>
          <w:rFonts w:hint="eastAsia" w:asciiTheme="minorEastAsia" w:hAnsiTheme="minorEastAsia" w:eastAsiaTheme="minorEastAsia" w:cstheme="minorEastAsia"/>
          <w:sz w:val="24"/>
          <w:szCs w:val="24"/>
        </w:rPr>
      </w:pPr>
      <w:bookmarkStart w:id="20" w:name="_Toc5207"/>
      <w:r>
        <w:rPr>
          <w:rFonts w:hint="eastAsia" w:ascii="黑体" w:hAnsi="黑体" w:eastAsia="黑体" w:cs="黑体"/>
          <w:sz w:val="32"/>
          <w:szCs w:val="32"/>
        </w:rPr>
        <w:t>结论</w:t>
      </w:r>
      <w:bookmarkEnd w:id="20"/>
    </w:p>
    <w:p w14:paraId="3C369A3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本文针对当前城市交通治理中日益严峻的停车资源错配与利用率低下问题，提出并详细设计了一套面向智慧城市应用场景的“智停云”分布式智能停车引导系统。该系统深度利用 </w:t>
      </w:r>
      <w:r>
        <w:rPr>
          <w:rFonts w:hint="default" w:ascii="Times New Roman" w:hAnsi="Times New Roman" w:cs="Times New Roman" w:eastAsiaTheme="minorEastAsia"/>
          <w:sz w:val="24"/>
          <w:szCs w:val="24"/>
        </w:rPr>
        <w:t>Spring Cloud Alibaba</w:t>
      </w:r>
      <w:r>
        <w:rPr>
          <w:rFonts w:hint="eastAsia" w:asciiTheme="minorEastAsia" w:hAnsiTheme="minorEastAsia" w:eastAsiaTheme="minorEastAsia" w:cstheme="minorEastAsia"/>
          <w:sz w:val="24"/>
          <w:szCs w:val="24"/>
        </w:rPr>
        <w:t xml:space="preserve"> 微服务生态技术栈，有效攻克了传统集中式停车管理系统长期存在的架构臃肿、耦合度高、并发扩展能力不足以及跨服务数据一致性保障困难等技术难题。</w:t>
      </w:r>
    </w:p>
    <w:p w14:paraId="0A71D428">
      <w:pPr>
        <w:rPr>
          <w:rFonts w:hint="eastAsia" w:asciiTheme="minorEastAsia" w:hAnsiTheme="minorEastAsia" w:eastAsiaTheme="minorEastAsia" w:cstheme="minorEastAsia"/>
          <w:sz w:val="24"/>
          <w:szCs w:val="24"/>
        </w:rPr>
      </w:pPr>
    </w:p>
    <w:p w14:paraId="5C1A25B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在系统架构层面，通过引入 </w:t>
      </w:r>
      <w:r>
        <w:rPr>
          <w:rFonts w:hint="eastAsia" w:ascii="Times New Roman" w:hAnsi="Times New Roman" w:cs="Times New Roman" w:eastAsiaTheme="minorEastAsia"/>
          <w:sz w:val="24"/>
          <w:szCs w:val="24"/>
        </w:rPr>
        <w:t>Nacos</w:t>
      </w:r>
      <w:r>
        <w:rPr>
          <w:rFonts w:hint="eastAsia" w:asciiTheme="minorEastAsia" w:hAnsiTheme="minorEastAsia" w:eastAsiaTheme="minorEastAsia" w:cstheme="minorEastAsia"/>
          <w:sz w:val="24"/>
          <w:szCs w:val="24"/>
        </w:rPr>
        <w:t xml:space="preserve"> 实现服务注册与动态配置的一体化管理，极大地降低了分布式系统的运维复杂度；依托 </w:t>
      </w:r>
      <w:r>
        <w:rPr>
          <w:rFonts w:hint="eastAsia" w:ascii="Times New Roman" w:hAnsi="Times New Roman" w:cs="Times New Roman" w:eastAsiaTheme="minorEastAsia"/>
          <w:sz w:val="24"/>
          <w:szCs w:val="24"/>
        </w:rPr>
        <w:t xml:space="preserve">Sentinel </w:t>
      </w:r>
      <w:r>
        <w:rPr>
          <w:rFonts w:hint="eastAsia" w:asciiTheme="minorEastAsia" w:hAnsiTheme="minorEastAsia" w:eastAsiaTheme="minorEastAsia" w:cstheme="minorEastAsia"/>
          <w:sz w:val="24"/>
          <w:szCs w:val="24"/>
        </w:rPr>
        <w:t xml:space="preserve">构建的多维度流量防护体系，在网关层与核心业务层分别实施精准限流与熔断降级策略，显著增强了系统在早晚高峰极端流量冲击下的抗压韧性与稳定性。在业务逻辑处理层面，系统巧妙结合 </w:t>
      </w:r>
      <w:r>
        <w:rPr>
          <w:rFonts w:hint="eastAsia" w:ascii="Times New Roman" w:hAnsi="Times New Roman" w:cs="Times New Roman" w:eastAsiaTheme="minorEastAsia"/>
          <w:sz w:val="24"/>
          <w:szCs w:val="24"/>
        </w:rPr>
        <w:t xml:space="preserve">Redisson </w:t>
      </w:r>
      <w:r>
        <w:rPr>
          <w:rFonts w:hint="eastAsia" w:asciiTheme="minorEastAsia" w:hAnsiTheme="minorEastAsia" w:eastAsiaTheme="minorEastAsia" w:cstheme="minorEastAsia"/>
          <w:sz w:val="24"/>
          <w:szCs w:val="24"/>
        </w:rPr>
        <w:t xml:space="preserve">分布式锁与 Redis 高速缓存机制，化解了热门停车场车位余量并发扣减的竞争冲突；特别是在车辆离场结算这一关键跨服务流程中，通过实施 </w:t>
      </w:r>
      <w:r>
        <w:rPr>
          <w:rFonts w:hint="eastAsia" w:ascii="Times New Roman" w:hAnsi="Times New Roman" w:cs="Times New Roman" w:eastAsiaTheme="minorEastAsia"/>
          <w:sz w:val="24"/>
          <w:szCs w:val="24"/>
        </w:rPr>
        <w:t>Seata TCC</w:t>
      </w:r>
      <w:r>
        <w:rPr>
          <w:rFonts w:hint="eastAsia" w:asciiTheme="minorEastAsia" w:hAnsiTheme="minorEastAsia" w:eastAsiaTheme="minorEastAsia" w:cstheme="minorEastAsia"/>
          <w:sz w:val="24"/>
          <w:szCs w:val="24"/>
        </w:rPr>
        <w:t xml:space="preserve"> 模式的分布式事务协调方案，严格保证了订单状态变更与车位资源释放操作的原子性与最终一致性。此外，利用 </w:t>
      </w:r>
      <w:r>
        <w:rPr>
          <w:rFonts w:hint="eastAsia" w:ascii="Times New Roman" w:hAnsi="Times New Roman" w:cs="Times New Roman" w:eastAsiaTheme="minorEastAsia"/>
          <w:sz w:val="24"/>
          <w:szCs w:val="24"/>
        </w:rPr>
        <w:t>RocketMQ</w:t>
      </w:r>
      <w:r>
        <w:rPr>
          <w:rFonts w:hint="eastAsia" w:asciiTheme="minorEastAsia" w:hAnsiTheme="minorEastAsia" w:eastAsiaTheme="minorEastAsia" w:cstheme="minorEastAsia"/>
          <w:sz w:val="24"/>
          <w:szCs w:val="24"/>
        </w:rPr>
        <w:t xml:space="preserve"> 的异步解耦能力，将耗时较长的日志记录与数据持久化操作从主业务链路中剥离，有效压低了核心接口的响应延迟，大幅提升了系统整体的吞吐量级。</w:t>
      </w:r>
    </w:p>
    <w:p w14:paraId="6AC39856">
      <w:pPr>
        <w:rPr>
          <w:rFonts w:hint="eastAsia" w:asciiTheme="minorEastAsia" w:hAnsiTheme="minorEastAsia" w:eastAsiaTheme="minorEastAsia" w:cstheme="minorEastAsia"/>
          <w:sz w:val="24"/>
          <w:szCs w:val="24"/>
        </w:rPr>
      </w:pPr>
    </w:p>
    <w:p w14:paraId="15009C8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停云”系统的实践价值体现在两个层面。微观层面，它为车主用户提供了一站式的空位检索、路径规划引导及无感支付体验，减少了因寻找车位产生的无效绕行时间与燃油消耗；宏观层面，它为城市管理者与停车场运营方提供了一套标准化的数字化运营基座，通过实时监控大屏与订单数据看板，助力决策者精准掌握全市停车资源分布热力与周转效率，为后续静态交通规划与动态价格调节提供了科学的数据支撑。</w:t>
      </w:r>
    </w:p>
    <w:p w14:paraId="668D4F58">
      <w:pPr>
        <w:rPr>
          <w:rFonts w:hint="eastAsia" w:asciiTheme="minorEastAsia" w:hAnsiTheme="minorEastAsia" w:eastAsiaTheme="minorEastAsia" w:cstheme="minorEastAsia"/>
          <w:sz w:val="24"/>
          <w:szCs w:val="24"/>
        </w:rPr>
      </w:pPr>
    </w:p>
    <w:p w14:paraId="47A842E0">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展望未来，本研究仍有广阔的深化空间。后续工作将主要聚焦于以下两个方向：其一，引入城市路网的实时动态交通流数据与历史停车行为序列，结合时间序列分析与深度学习算法，构建更为精准的车位占用状态短时预测模型，从被动信息查询转向主动智能推荐；其二，探索将区块链技术应用于停车计费与多方结算环节，利用其去中心化、不可篡改的特性，构建一套更具公信力的跨停车场运营清分体系，进一步降低运营主体间的信任摩擦成本。通过上述技术迭代，“智停云”系统有望演进为城市交通大脑中不可或缺的关键感知与执行单元，为最终实现城市全域交通资源的最优配置贡献力量。</w:t>
      </w:r>
      <w:r>
        <w:rPr>
          <w:rFonts w:hint="eastAsia" w:asciiTheme="minorEastAsia" w:hAnsiTheme="minorEastAsia" w:eastAsiaTheme="minorEastAsia" w:cstheme="minorEastAsia"/>
          <w:sz w:val="24"/>
          <w:szCs w:val="24"/>
        </w:rPr>
        <w:br w:type="page"/>
      </w:r>
    </w:p>
    <w:p w14:paraId="2877BE7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outlineLvl w:val="0"/>
        <w:rPr>
          <w:rFonts w:hint="eastAsia" w:asciiTheme="minorEastAsia" w:hAnsiTheme="minorEastAsia" w:eastAsiaTheme="minorEastAsia" w:cstheme="minorEastAsia"/>
          <w:sz w:val="24"/>
          <w:szCs w:val="24"/>
        </w:rPr>
      </w:pPr>
      <w:bookmarkStart w:id="21" w:name="_Toc32052"/>
      <w:r>
        <w:rPr>
          <w:rFonts w:hint="eastAsia" w:ascii="黑体" w:hAnsi="黑体" w:eastAsia="黑体" w:cs="黑体"/>
          <w:sz w:val="32"/>
          <w:szCs w:val="32"/>
        </w:rPr>
        <w:t>参考文献</w:t>
      </w:r>
      <w:bookmarkEnd w:id="21"/>
    </w:p>
    <w:p w14:paraId="45ADF881">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1. 谭锋. </w:t>
      </w:r>
      <w:r>
        <w:rPr>
          <w:rFonts w:hint="eastAsia" w:ascii="Times New Roman" w:hAnsi="Times New Roman" w:cs="Times New Roman" w:eastAsiaTheme="minorEastAsia"/>
          <w:sz w:val="24"/>
          <w:szCs w:val="24"/>
        </w:rPr>
        <w:t xml:space="preserve">Spring Cloud Alibaba </w:t>
      </w:r>
      <w:r>
        <w:rPr>
          <w:rFonts w:hint="eastAsia" w:asciiTheme="minorEastAsia" w:hAnsiTheme="minorEastAsia" w:eastAsiaTheme="minorEastAsia" w:cstheme="minorEastAsia"/>
          <w:sz w:val="24"/>
          <w:szCs w:val="24"/>
        </w:rPr>
        <w:t>微服务原理与实战</w:t>
      </w:r>
      <w:r>
        <w:rPr>
          <w:rFonts w:hint="eastAsia" w:ascii="Times New Roman" w:hAnsi="Times New Roman" w:cs="Times New Roman" w:eastAsiaTheme="minorEastAsia"/>
          <w:sz w:val="24"/>
          <w:szCs w:val="24"/>
        </w:rPr>
        <w:t>[M]</w:t>
      </w:r>
      <w:r>
        <w:rPr>
          <w:rFonts w:hint="eastAsia" w:asciiTheme="minorEastAsia" w:hAnsiTheme="minorEastAsia" w:eastAsiaTheme="minorEastAsia" w:cstheme="minorEastAsia"/>
          <w:sz w:val="24"/>
          <w:szCs w:val="24"/>
        </w:rPr>
        <w:t xml:space="preserve">. 北京: 电子工业出版社, </w:t>
      </w:r>
      <w:r>
        <w:rPr>
          <w:rFonts w:hint="eastAsia" w:ascii="Times New Roman" w:hAnsi="Times New Roman" w:cs="Times New Roman" w:eastAsiaTheme="minorEastAsia"/>
          <w:sz w:val="24"/>
          <w:szCs w:val="24"/>
        </w:rPr>
        <w:t>2021.</w:t>
      </w:r>
      <w:r>
        <w:rPr>
          <w:rFonts w:hint="eastAsia" w:asciiTheme="minorEastAsia" w:hAnsiTheme="minorEastAsia" w:eastAsiaTheme="minorEastAsia" w:cstheme="minorEastAsia"/>
          <w:sz w:val="24"/>
          <w:szCs w:val="24"/>
        </w:rPr>
        <w:t xml:space="preserve"> </w:t>
      </w:r>
    </w:p>
    <w:p w14:paraId="238CEBA3">
      <w:pPr>
        <w:spacing w:line="360" w:lineRule="auto"/>
        <w:rPr>
          <w:rFonts w:hint="eastAsia" w:ascii="Times New Roman" w:hAnsi="Times New Roman" w:cs="Times New Roman" w:eastAsiaTheme="minorEastAsia"/>
          <w:i w:val="0"/>
          <w:iCs w:val="0"/>
          <w:caps w:val="0"/>
          <w:color w:val="404040"/>
          <w:spacing w:val="0"/>
          <w:sz w:val="24"/>
          <w:szCs w:val="24"/>
        </w:rPr>
      </w:pPr>
      <w:r>
        <w:rPr>
          <w:rFonts w:hint="eastAsia" w:asciiTheme="minorEastAsia" w:hAnsiTheme="minorEastAsia" w:eastAsiaTheme="minorEastAsia" w:cstheme="minorEastAsia"/>
          <w:sz w:val="24"/>
          <w:szCs w:val="24"/>
        </w:rPr>
        <w:t xml:space="preserve">2. 阿里巴巴集团. </w:t>
      </w:r>
      <w:r>
        <w:rPr>
          <w:rFonts w:hint="eastAsia" w:ascii="Times New Roman" w:hAnsi="Times New Roman" w:cs="Times New Roman" w:eastAsiaTheme="minorEastAsia"/>
          <w:sz w:val="24"/>
          <w:szCs w:val="24"/>
        </w:rPr>
        <w:t xml:space="preserve">Nacos </w:t>
      </w:r>
      <w:r>
        <w:rPr>
          <w:rFonts w:hint="eastAsia" w:asciiTheme="minorEastAsia" w:hAnsiTheme="minorEastAsia" w:eastAsiaTheme="minorEastAsia" w:cstheme="minorEastAsia"/>
          <w:sz w:val="24"/>
          <w:szCs w:val="24"/>
        </w:rPr>
        <w:t>官方文档</w:t>
      </w:r>
      <w:r>
        <w:rPr>
          <w:rFonts w:hint="eastAsia" w:ascii="Times New Roman" w:hAnsi="Times New Roman" w:cs="Times New Roman" w:eastAsiaTheme="minorEastAsia"/>
          <w:sz w:val="24"/>
          <w:szCs w:val="24"/>
        </w:rPr>
        <w:t>[EB/OL].</w:t>
      </w:r>
      <w:r>
        <w:rPr>
          <w:rFonts w:hint="eastAsia" w:asciiTheme="minorEastAsia" w:hAnsiTheme="minorEastAsia" w:eastAsiaTheme="minorEastAsia" w:cstheme="minorEastAsia"/>
          <w:sz w:val="24"/>
          <w:szCs w:val="24"/>
        </w:rPr>
        <w:t xml:space="preserve"> </w:t>
      </w:r>
      <w:r>
        <w:rPr>
          <w:rFonts w:hint="eastAsia" w:ascii="Times New Roman" w:hAnsi="Times New Roman" w:cs="Times New Roman" w:eastAsiaTheme="minorEastAsia"/>
          <w:sz w:val="24"/>
          <w:szCs w:val="24"/>
        </w:rPr>
        <w:t>[2026-03-09].</w:t>
      </w:r>
      <w:r>
        <w:rPr>
          <w:rFonts w:hint="eastAsia" w:asciiTheme="minorEastAsia" w:hAnsiTheme="minorEastAsia" w:eastAsiaTheme="minorEastAsia" w:cstheme="minorEastAsia"/>
          <w:sz w:val="24"/>
          <w:szCs w:val="24"/>
        </w:rPr>
        <w:t xml:space="preserve"> </w:t>
      </w:r>
    </w:p>
    <w:p w14:paraId="540B9D52">
      <w:pPr>
        <w:spacing w:line="360" w:lineRule="auto"/>
        <w:rPr>
          <w:rFonts w:hint="eastAsia"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3. 阿里巴巴集团. </w:t>
      </w:r>
      <w:r>
        <w:rPr>
          <w:rFonts w:hint="eastAsia" w:ascii="Times New Roman" w:hAnsi="Times New Roman" w:cs="Times New Roman" w:eastAsiaTheme="minorEastAsia"/>
          <w:sz w:val="24"/>
          <w:szCs w:val="24"/>
        </w:rPr>
        <w:t>Sentinel</w:t>
      </w:r>
      <w:r>
        <w:rPr>
          <w:rFonts w:hint="eastAsia" w:asciiTheme="minorEastAsia" w:hAnsiTheme="minorEastAsia" w:eastAsiaTheme="minorEastAsia" w:cstheme="minorEastAsia"/>
          <w:sz w:val="24"/>
          <w:szCs w:val="24"/>
        </w:rPr>
        <w:t xml:space="preserve"> 官方文档</w:t>
      </w:r>
      <w:r>
        <w:rPr>
          <w:rFonts w:hint="eastAsia" w:ascii="Times New Roman" w:hAnsi="Times New Roman" w:cs="Times New Roman" w:eastAsiaTheme="minorEastAsia"/>
          <w:sz w:val="24"/>
          <w:szCs w:val="24"/>
        </w:rPr>
        <w:t xml:space="preserve">[EB/OL]. [2026-03-09]. </w:t>
      </w:r>
    </w:p>
    <w:p w14:paraId="71EDC311">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腾讯公司. 微信小程序开发文档</w:t>
      </w:r>
      <w:r>
        <w:rPr>
          <w:rFonts w:hint="eastAsia" w:ascii="Times New Roman" w:hAnsi="Times New Roman" w:cs="Times New Roman" w:eastAsiaTheme="minorEastAsia"/>
          <w:sz w:val="24"/>
          <w:szCs w:val="24"/>
        </w:rPr>
        <w:t>[EB/OL]. [2026-03-09].</w:t>
      </w:r>
    </w:p>
    <w:p w14:paraId="5881F044">
      <w:pPr>
        <w:spacing w:line="360" w:lineRule="auto"/>
        <w:rPr>
          <w:rFonts w:hint="eastAsia"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5. </w:t>
      </w:r>
      <w:r>
        <w:rPr>
          <w:rFonts w:hint="eastAsia" w:ascii="Times New Roman" w:hAnsi="Times New Roman" w:cs="Times New Roman" w:eastAsiaTheme="minorEastAsia"/>
          <w:i w:val="0"/>
          <w:iCs w:val="0"/>
          <w:caps w:val="0"/>
          <w:color w:val="404040"/>
          <w:spacing w:val="0"/>
          <w:sz w:val="24"/>
          <w:szCs w:val="24"/>
        </w:rPr>
        <w:t>西安市市场监督管理局</w:t>
      </w:r>
      <w:r>
        <w:rPr>
          <w:rFonts w:hint="eastAsia" w:ascii="Times New Roman" w:hAnsi="Times New Roman" w:cs="Times New Roman" w:eastAsiaTheme="minorEastAsia"/>
          <w:sz w:val="24"/>
          <w:szCs w:val="24"/>
        </w:rPr>
        <w:t>.</w:t>
      </w:r>
      <w:r>
        <w:rPr>
          <w:rFonts w:hint="eastAsia" w:ascii="Times New Roman" w:hAnsi="Times New Roman" w:cs="Times New Roman" w:eastAsiaTheme="minorEastAsia"/>
          <w:sz w:val="24"/>
          <w:szCs w:val="24"/>
        </w:rPr>
        <w:t xml:space="preserve"> DB6101/T 3099-2021 </w:t>
      </w:r>
      <w:r>
        <w:rPr>
          <w:rFonts w:hint="eastAsia" w:ascii="Times New Roman" w:hAnsi="Times New Roman" w:cs="Times New Roman" w:eastAsiaTheme="minorEastAsia"/>
          <w:i w:val="0"/>
          <w:iCs w:val="0"/>
          <w:caps w:val="0"/>
          <w:color w:val="404040"/>
          <w:spacing w:val="0"/>
          <w:sz w:val="24"/>
          <w:szCs w:val="24"/>
        </w:rPr>
        <w:t>智慧停车大数据管理规范</w:t>
      </w:r>
      <w:r>
        <w:rPr>
          <w:rFonts w:hint="eastAsia" w:ascii="Times New Roman" w:hAnsi="Times New Roman" w:cs="Times New Roman" w:eastAsiaTheme="minorEastAsia"/>
          <w:sz w:val="24"/>
          <w:szCs w:val="24"/>
        </w:rPr>
        <w:t>[S]</w:t>
      </w:r>
      <w:r>
        <w:rPr>
          <w:rFonts w:hint="eastAsia" w:ascii="Times New Roman" w:hAnsi="Times New Roman" w:cs="Times New Roman" w:eastAsiaTheme="minorEastAsia"/>
          <w:i w:val="0"/>
          <w:iCs w:val="0"/>
          <w:caps w:val="0"/>
          <w:color w:val="404040"/>
          <w:spacing w:val="0"/>
          <w:sz w:val="24"/>
          <w:szCs w:val="24"/>
        </w:rPr>
        <w:t>.</w:t>
      </w:r>
      <w:r>
        <w:rPr>
          <w:rFonts w:hint="eastAsia" w:ascii="Times New Roman" w:hAnsi="Times New Roman" w:cs="Times New Roman" w:eastAsiaTheme="minorEastAsia"/>
          <w:sz w:val="24"/>
          <w:szCs w:val="24"/>
        </w:rPr>
        <w:t xml:space="preserve"> </w:t>
      </w:r>
      <w:r>
        <w:rPr>
          <w:rFonts w:hint="eastAsia" w:ascii="Times New Roman" w:hAnsi="Times New Roman" w:cs="Times New Roman" w:eastAsiaTheme="minorEastAsia"/>
          <w:i w:val="0"/>
          <w:iCs w:val="0"/>
          <w:caps w:val="0"/>
          <w:color w:val="404040"/>
          <w:spacing w:val="0"/>
          <w:sz w:val="24"/>
          <w:szCs w:val="24"/>
        </w:rPr>
        <w:t xml:space="preserve">西安: 西安市市场监督管理局, </w:t>
      </w:r>
      <w:r>
        <w:rPr>
          <w:rFonts w:hint="eastAsia" w:ascii="Times New Roman" w:hAnsi="Times New Roman" w:cs="Times New Roman" w:eastAsiaTheme="minorEastAsia"/>
          <w:sz w:val="24"/>
          <w:szCs w:val="24"/>
        </w:rPr>
        <w:t>2021.</w:t>
      </w:r>
    </w:p>
    <w:p w14:paraId="6F5648ED">
      <w:pPr>
        <w:spacing w:line="360" w:lineRule="auto"/>
        <w:rPr>
          <w:rFonts w:hint="default" w:ascii="Times New Roman" w:hAnsi="Times New Roman" w:cs="Times New Roman" w:eastAsiaTheme="minorEastAsia"/>
          <w:sz w:val="24"/>
          <w:szCs w:val="24"/>
          <w:lang w:val="en-US" w:eastAsia="zh-CN"/>
        </w:rPr>
      </w:pPr>
      <w:r>
        <w:rPr>
          <w:rFonts w:hint="eastAsia" w:ascii="Times New Roman" w:hAnsi="Times New Roman" w:cs="Times New Roman"/>
          <w:i w:val="0"/>
          <w:iCs w:val="0"/>
          <w:caps w:val="0"/>
          <w:color w:val="404040"/>
          <w:spacing w:val="0"/>
          <w:sz w:val="24"/>
          <w:szCs w:val="24"/>
          <w:lang w:val="en-US" w:eastAsia="zh-CN"/>
        </w:rPr>
        <w:t>6.  济南市人民政府</w:t>
      </w:r>
      <w:r>
        <w:rPr>
          <w:rFonts w:hint="eastAsia" w:ascii="Times New Roman" w:hAnsi="Times New Roman" w:cs="Times New Roman" w:eastAsiaTheme="minorEastAsia"/>
          <w:sz w:val="24"/>
          <w:szCs w:val="24"/>
          <w:lang w:val="en-US" w:eastAsia="zh-CN"/>
        </w:rPr>
        <w:t xml:space="preserve">. </w:t>
      </w:r>
      <w:r>
        <w:rPr>
          <w:rFonts w:hint="eastAsia" w:ascii="Times New Roman" w:hAnsi="Times New Roman" w:cs="Times New Roman"/>
          <w:i w:val="0"/>
          <w:iCs w:val="0"/>
          <w:caps w:val="0"/>
          <w:color w:val="404040"/>
          <w:spacing w:val="0"/>
          <w:sz w:val="24"/>
          <w:szCs w:val="24"/>
          <w:lang w:val="en-US" w:eastAsia="zh-CN"/>
        </w:rPr>
        <w:t>济南市城市停车建设和管理条例</w:t>
      </w:r>
      <w:r>
        <w:rPr>
          <w:rFonts w:hint="eastAsia" w:ascii="Times New Roman" w:hAnsi="Times New Roman" w:cs="Times New Roman" w:eastAsiaTheme="minorEastAsia"/>
          <w:sz w:val="24"/>
          <w:szCs w:val="24"/>
          <w:lang w:val="en-US" w:eastAsia="zh-CN"/>
        </w:rPr>
        <w:t>[EB/OL]. [2026-03-09].</w:t>
      </w:r>
    </w:p>
    <w:p w14:paraId="3B51B8D6"/>
    <w:sectPr>
      <w:pgSz w:w="11906" w:h="16838"/>
      <w:pgMar w:top="1417" w:right="1134" w:bottom="1417"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var(--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3704C"/>
    <w:rsid w:val="2FD15EC5"/>
    <w:rsid w:val="40FC3758"/>
    <w:rsid w:val="5735310F"/>
    <w:rsid w:val="7C0C3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宋体" w:hAnsi="宋体" w:eastAsia="宋体" w:cs="宋体"/>
      <w:sz w:val="24"/>
      <w:szCs w:val="24"/>
      <w:lang w:val="en-US" w:eastAsia="en-US" w:bidi="ar-SA"/>
    </w:rPr>
  </w:style>
  <w:style w:type="paragraph" w:styleId="4">
    <w:name w:val="toc 1"/>
    <w:basedOn w:val="1"/>
    <w:next w:val="1"/>
    <w:uiPriority w:val="0"/>
  </w:style>
  <w:style w:type="paragraph" w:styleId="5">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3242</Words>
  <Characters>4396</Characters>
  <Lines>0</Lines>
  <Paragraphs>0</Paragraphs>
  <TotalTime>8</TotalTime>
  <ScaleCrop>false</ScaleCrop>
  <LinksUpToDate>false</LinksUpToDate>
  <CharactersWithSpaces>4750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2025-03-02T23:17:00Z</dcterms:created>
  <dc:creator>联想</dc:creator>
  <cp:lastModifiedBy>欣然</cp:lastModifiedBy>
  <dcterms:modified xsi:type="dcterms:W3CDTF">2026-04-08T03:20:47Z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eyJoZGlkIjoiZTZkMWFlODE4M2ExN2FhYTMzNTcwODMyMTg5YTc4ZjEiLCJ1c2VySWQiOiI4MTkyMDE5NjAifQ==</vt:lpwstr>
  </property>
  <property fmtid="{D5CDD505-2E9C-101B-9397-08002B2CF9AE}" pid="4" name="ICV">
    <vt:lpwstr>FF9C8712D79343C285341856BB53180A_12</vt:lpwstr>
  </property>
</Properties>
</file>