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 w:after="16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智能阅读器需求调研报告</w:t>
      </w:r>
    </w:p>
    <w:p>
      <w:pPr>
        <w:spacing w:after="700"/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需求调研与建模成果  |  V1.0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智能阅读器项目组</w:t>
      </w:r>
    </w:p>
    <w:p>
      <w:pPr>
        <w:spacing w:after="50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2026 年 10 月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1 调研结论</w:t>
      </w:r>
    </w:p>
    <w:p>
      <w:pPr>
        <w:spacing w:line="324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本报告围绕“内置 AI 助手的智能阅读器”整理需求调研结果，并将结论映射到 V0.2 需求模型、用例、业务规则和非功能需求。当前最明确的产品方向是：以 PDF 阅读为首要入口，保留 DOCX 和 Markdown 的高优先级支持，在原文阅读过程中提供全文摘要、语义定位、选中文本解释和可追溯引用。用户接受 AI 联网，但不接受默认上传本地文件，因此系统必须把文件访问、云端外发和导出位置都交给用户明确确认。</w:t>
      </w:r>
    </w:p>
    <w:p>
      <w:pPr>
        <w:spacing w:line="324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问卷共收集 20 份回答。问卷可用于功能排序和验证假设，不能代表全部目标用户，也不能直接推导最终性能 SLA 或合规结论。性能、格式兼容性和模型准确率仍需在经授权的样本集上进行技术验证。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2 调研方案与执行情况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1361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324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对象/材料</w:t>
            </w:r>
          </w:p>
        </w:tc>
        <w:tc>
          <w:tcPr>
            <w:tcW w:type="dxa" w:w="3231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2438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背景资料研读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课程任务书、已有技术调研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系统边界、交付物、技术约束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边界与评审要求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同类产品分析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WPS、Office、Typora 等使用背景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打开、权限、格式和阅读流程痛点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竞品与问题清单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文档样本调研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经授权/公开的 PDF、DOCX、Markdown、扫描样本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解析、目录、OCR、表格和引用定位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样本矩阵与失败场景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问卷统计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 份文档阅读器调研回答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格式、AI 功能、信任、权限、联网和时延偏好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统计证据 SURVEY-001 至 011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技术实验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 的解析、检索、证据门控实验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解析结果、混合检索、引用和降级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架构边界与技术约束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建模评审</w:t>
            </w:r>
          </w:p>
        </w:tc>
        <w:tc>
          <w:tcPr>
            <w:tcW w:type="dxa" w:w="232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项目组成员与已有模型</w:t>
            </w:r>
          </w:p>
        </w:tc>
        <w:tc>
          <w:tcPr>
            <w:tcW w:type="dxa" w:w="323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需求可追溯性、异常路径和优先级</w:t>
            </w:r>
          </w:p>
        </w:tc>
        <w:tc>
          <w:tcPr>
            <w:tcW w:type="dxa" w:w="243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V0.2 模型与待验证清单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3 用户与核心场景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1814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用户/场景</w:t>
            </w:r>
          </w:p>
        </w:tc>
        <w:tc>
          <w:tcPr>
            <w:tcW w:type="dxa" w:w="2381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948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2211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一期支持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学生/课程学习</w:t>
            </w:r>
          </w:p>
        </w:tc>
        <w:tc>
          <w:tcPr>
            <w:tcW w:type="dxa" w:w="238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读教材、查概念、做笔记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长文档定位慢，理解成本高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目录、摘要、选中文本解释、笔记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科研人员/论文精读</w:t>
            </w:r>
          </w:p>
        </w:tc>
        <w:tc>
          <w:tcPr>
            <w:tcW w:type="dxa" w:w="238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找论点、比对文献、核验结论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引用难回溯，跨文档容易混淆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页码/原文高亮、授权文档集检索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教师/技术人员</w:t>
            </w:r>
          </w:p>
        </w:tc>
        <w:tc>
          <w:tcPr>
            <w:tcW w:type="dxa" w:w="238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查规范、解释条款、整理依据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格式复杂，答案需可验证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引用核验、低置信度标记、导出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办公审阅人员</w:t>
            </w:r>
          </w:p>
        </w:tc>
        <w:tc>
          <w:tcPr>
            <w:tcW w:type="dxa" w:w="238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审阅报告、提取要点、生成衍生文件</w:t>
            </w:r>
          </w:p>
        </w:tc>
        <w:tc>
          <w:tcPr>
            <w:tcW w:type="dxa" w:w="294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权限弹窗混乱，不能修改源文件</w:t>
            </w:r>
          </w:p>
        </w:tc>
        <w:tc>
          <w:tcPr>
            <w:tcW w:type="dxa" w:w="221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最小权限、只读源文件、指定位置导出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4 统计证据与需求影响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1814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628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969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需求决策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Q2 格式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PDF 18；DOCX/Markdown 各 11；PPTX 10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PDF Must；DOCX/Markdown 高优先级；PPTX 候选扩展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Q3 AI 任务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摘要 18；语义定位/选中文本解释各 13；跨文档 12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摘要、语义定位、选中文本解释进入核心用例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Q4 信任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页码跳转高亮 17；外部权威链接 15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页级引用核验必须；外部资料作为后续增强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Q6 联网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75% 接受离线阅读、联网 AI；25% 希望全离线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离线阅读和基础检索保留；一期 AI 可联网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Q7/Q8 外发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云端 70% 选择逐文件询问；本地模型 35% 不接受上传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默认禁止自动上传，逐文件确认并提供本地降级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Q10/Q11 质量</w:t>
            </w:r>
          </w:p>
        </w:tc>
        <w:tc>
          <w:tcPr>
            <w:tcW w:type="dxa" w:w="36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打开慢 13；权限问题 12；CPU/内存 10；75% 期望 1 分钟内反馈</w:t>
            </w:r>
          </w:p>
        </w:tc>
        <w:tc>
          <w:tcPr>
            <w:tcW w:type="dxa" w:w="396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增加时延、资源、权限和进度反馈要求，阈值待压测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5 需求范围与优先级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1247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592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572"/>
            <w:vAlign w:val="center"/>
            <w:shd w:fill="1F4E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验收关注点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459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导入、PDF 阅读、目录/页面、全文检索、摘要、选中文本问答、引用跳转高亮、权限门控、离线阅读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完成端到端链路，回答必须可回到原文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459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DOCX/Markdown、语义/模糊检索、授权文档集检索、笔记、导出、流式进度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明确范围和降级状态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Could</w:t>
            </w:r>
          </w:p>
        </w:tc>
        <w:tc>
          <w:tcPr>
            <w:tcW w:type="dxa" w:w="459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PPTX、外部权威资料、完全离线 AI、复杂表格公式结构化问答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先完成可行性验证，不作为一期承诺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Won't now</w:t>
            </w:r>
          </w:p>
        </w:tc>
        <w:tc>
          <w:tcPr>
            <w:tcW w:type="dxa" w:w="459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跨组织全局问答、未经授权真实资料演示、自动上传工作区</w:t>
            </w:r>
          </w:p>
        </w:tc>
        <w:tc>
          <w:tcPr>
            <w:tcW w:type="dxa" w:w="3572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禁止进入默认流程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6 技术与合规结论</w:t>
      </w:r>
    </w:p>
    <w:p>
      <w:pPr>
        <w:spacing w:line="324" w:lineRule="auto" w:before="0" w:after="40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采用本地解析/OCR和统一中间表示，记录文档版本、页面、内容块、坐标、偏移和置信度。</w:t>
      </w:r>
    </w:p>
    <w:p>
      <w:pPr>
        <w:spacing w:line="324" w:lineRule="auto" w:before="0" w:after="40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检索前先完成权限过滤，云端调用只允许接收经过 Evidence Contract 和逐文件确认的证据包。</w:t>
      </w:r>
    </w:p>
    <w:p>
      <w:pPr>
        <w:spacing w:line="324" w:lineRule="auto" w:before="0" w:after="40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低置信 OCR、结构不确定、证据过期、引用定位失败和模型超时均需显示状态，并回退到原文、检索或人工复核。</w:t>
      </w:r>
    </w:p>
    <w:p>
      <w:pPr>
        <w:spacing w:line="324" w:lineRule="auto" w:before="0" w:after="40"/>
        <w:ind w:left="400" w:hanging="2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测试材料必须为公开或经授权样本，演示前完成脱敏、版权标识、访问控制和删除验证。</w:t>
      </w:r>
    </w:p>
    <w:p>
      <w:pPr>
        <w:pStyle w:val="Heading2"/>
        <w:keepNext/>
      </w:pPr>
      <w:r>
        <w:t>6.1 技术验证证据及需求影响</w:t>
      </w:r>
    </w:p>
    <w:p>
      <w:pPr>
        <w:keepNext/>
        <w:spacing w:after="80"/>
      </w:pPr>
      <w:r>
        <w:t>下表汇总不同样本和局部链路的阶段性结果。各指标口径与样本规模不同，仅用于界定一期能力边界和验收重点，不代表生产质量或已实现能力。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40"/>
        <w:gridCol w:w="3888"/>
        <w:gridCol w:w="3744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技术主题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阶段性证据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对需求与验收的影响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解析与结构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 份自制文本 PDF 字符召回均为 1.0；PyMuPDF 双栏严格段落边界召回 0.2857；Docling 双栏表格单元格准确率 0.7778、脚注召回 0；Tika 无元素级页码/bbox。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保留页码、bbox、结构类型与置信状态；双栏、脚注及复杂表格须可见降级，不承诺自动结构化问答。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OCR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 页清晰样本中 RapidOCR 144 DPI 达暂定门槛；8 张公开图片的 11 个固定问题中，RapidOCR 4/11、Tesseract 3/11。未做完整人工转写，故无 CER/WER。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逐页保留 OCR 状态、置信度、bbox 和原图；旋转、表格、公式、印章或低置信页面转原页核验/人工复核。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检索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真实中文 embedding 小样本 Recall@3=1.0、混合 RRF MRR=0.905，但无答案误召回率仍为 1.0；另有 5 文档/80 块/12 题的解析 IR Hit@3=0.833，证据元数据完整率 0.606。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分别验收有答案召回、无答案拒答、证据覆盖与元数据完整率；权限必须在排序和融合前过滤。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引用定位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95 条证据检查中完整证据为 0；版本、源哈希、字符偏移缺失。其他定位检查虽有页码映射率/路由完成率 1.0 和 bbox 越界通过，仍不能证明引用契约完整。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云端生成前校验文档版本、source hash、块、页码/章节、字符范围和原文；不完整时展示本地证据、拒答或转复核。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多文档权限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12 份逻辑文档/43 块/6 题的合成夹具中，未授权泄露率 0、元数据完整率 1.0、平均证据覆盖 0.833；撤权、stale、删除后新查询不可见及并发检查通过。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权限和版本随索引、证据全程传递并在检索前过滤；夹具不能证明真实数据库、物理磁盘或备份已完成删除。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问答与模型</w:t>
            </w:r>
          </w:p>
        </w:tc>
        <w:tc>
          <w:tcPr>
            <w:tcW w:type="dxa" w:w="38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规则门控 11 题的拒答/复核准确率 1.0、证据覆盖率 0.778；云端 11 题合成评测的状态准确率 0.636、引用证据比例 0.818、拒答/复核准确率 0.750，批次 p50/p95 约 28.8/33.6 秒。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1F5F9"/>
          </w:tcPr>
          <w:p>
            <w:pPr>
              <w:spacing w:before="0" w:after="20" w:line="252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回答需经证据门控和引用校验；界面显示生成、拒答、复核、超时/失败并保留本地降级。批次时延不是单题 SLA，不能据此承诺模型质量或本地生成能力。</w:t>
            </w:r>
          </w:p>
        </w:tc>
      </w:tr>
    </w:tbl>
    <w:p>
      <w:pPr>
        <w:spacing w:before="120" w:after="100"/>
      </w:pPr>
      <w:r>
        <w:t>阶段性架构建议：以本地解析、OCR、结构校验、索引、检索和权限过滤形成证据层；只有文档允许外发、用户逐文件确认、证据契约完整且文档未过期时，才把最小必要证据交给可替换的云端模型适配器。其他情形保留原文/本地检索，按风险拒答或转人工复核。该路线是候选方案，不是最终模型或供应商选型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7 待验证问题</w:t>
      </w:r>
    </w:p>
    <w:p>
      <w:pPr>
        <w:spacing w:line="324" w:lineRule="auto" w:before="0" w:after="40"/>
        <w:ind w:left="400" w:hanging="40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样本用户类型是否覆盖学生、教师、科研、办公和管理员角色。</w:t>
      </w:r>
    </w:p>
    <w:p>
      <w:pPr>
        <w:spacing w:line="324" w:lineRule="auto" w:before="0" w:after="40"/>
        <w:ind w:left="400" w:hanging="40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PPTX、XLSX、TXT 的一期支持范围以及复杂表格和公式的可接受准确率。</w:t>
      </w:r>
    </w:p>
    <w:p>
      <w:pPr>
        <w:spacing w:line="324" w:lineRule="auto" w:before="0" w:after="40"/>
        <w:ind w:left="400" w:hanging="40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代表性设备和样本文档下 30 秒流式反馈、1 分钟完成目标是否可达。</w:t>
      </w:r>
    </w:p>
    <w:p>
      <w:pPr>
        <w:spacing w:line="324" w:lineRule="auto" w:before="0" w:after="40"/>
        <w:ind w:left="400" w:hanging="40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外部权威资料链接是否属于一期核心功能，还是后续外部检索能力。</w:t>
      </w:r>
    </w:p>
    <w:p>
      <w:pPr>
        <w:spacing w:line="324" w:lineRule="auto" w:before="0" w:after="40"/>
        <w:ind w:left="400" w:hanging="40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删除文档后索引、缓存、笔记和引用的传播时限。</w:t>
      </w:r>
    </w:p>
    <w:p>
      <w:pPr>
        <w:spacing w:after="60"/>
      </w:pPr>
      <w:r>
        <w:t>引用验收需单独关注证据契约完整率、无答案误召回和答案逐条可支持性；当前完整证据检查为 0/95，不能以页码映射率替代。</w:t>
      </w:r>
    </w:p>
    <w:p>
      <w:pPr>
        <w:spacing w:after="60"/>
      </w:pPr>
      <w:r>
        <w:t>问答响应目标、单题端到端时延、模型费用、云端数据保留和真实环境删除时限，需在固定问题集、代表性设备及经授权资料上补测后再设验收阈值。</w:t>
      </w:r>
    </w:p>
    <w:p>
      <w:pPr>
        <w:pStyle w:val="Heading1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30"/>
        </w:rPr>
        <w:t>8 证据与文件索引</w:t>
      </w:r>
    </w:p>
    <w:p>
      <w:pPr>
        <w:spacing w:line="324" w:lineRule="auto" w:before="0" w:after="80"/>
        <w:jc w:val="both"/>
      </w:pPr>
      <w:r>
        <w:t>统计来源：统计结果.pdf（2026/09/27，n=20）；技术来源：D:\Develop\Project\Intelligent-Reader\docs\需求调研\A-work\ 与 experiments\；模型文件：需求模型V0.1.md（内容版本 V0.2）、需求模型-用例图、需求模型-领域模型、需求模型-关键流程；技术摘要：T07-智能阅读器技术调研成果摘要.md；详细实验编号见摘要及 A-work/experiments 对应结果文件。</w:t>
      </w:r>
    </w:p>
    <w:sectPr w:rsidR="00FC693F" w:rsidRPr="0006063C" w:rsidSect="00034616">
      <w:footerReference w:type="default" r:id="rId9"/>
      <w:pgSz w:w="11906" w:h="16838"/>
      <w:pgMar w:top="1332" w:right="1389" w:bottom="1247" w:left="1389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6"/>
      </w:rPr>
      <w:t xml:space="preserve">智能阅读器课程实践  |  </w:t>
    </w:r>
    <w:r>
      <w:rPr>
        <w:rFonts w:ascii="Times New Roman" w:hAnsi="Times New Roman" w:eastAsia="宋体"/>
        <w:b w:val="0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01-需求调研报告-智能阅读器</dc:title>
  <dc:subject/>
  <dc:creator>智能阅读器项目组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