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 w:eastAsia="黑体"/>
          <w:b w:val="0"/>
          <w:color w:val="000000"/>
          <w:sz w:val="28"/>
        </w:rPr>
        <w:t>《软件系统分析与设计》课程实践（三）</w:t>
      </w:r>
    </w:p>
    <w:p>
      <w:pPr>
        <w:spacing w:line="348" w:lineRule="auto"/>
        <w:jc w:val="both"/>
      </w:pPr>
      <w:r>
        <w:rPr>
          <w:rFonts w:ascii="Times New Roman" w:hAnsi="Times New Roman" w:eastAsia="黑体"/>
          <w:b/>
          <w:color w:val="000000"/>
          <w:sz w:val="21"/>
        </w:rPr>
        <w:t>文档说明：</w:t>
      </w:r>
      <w:r>
        <w:rPr>
          <w:rFonts w:ascii="Times New Roman" w:hAnsi="Times New Roman" w:eastAsia="宋体"/>
          <w:b w:val="0"/>
          <w:color w:val="000000"/>
          <w:sz w:val="21"/>
        </w:rPr>
        <w:t>本案例根据课程实践需要和公开资料编写，专门用于《软件系统分析与设计》课程案例教学。案例中的功能范围和技术指标可由任课教师结合教学进度调整；未明确的细节，学生可在需求调研与评审基础上作出合理设计。未经许可，请勿随意在网络上传播和转载，更不能用于其他商业用途。</w:t>
      </w:r>
    </w:p>
    <w:p>
      <w:pPr>
        <w:pStyle w:val="Title"/>
        <w:spacing w:before="2900" w:after="3700"/>
        <w:jc w:val="center"/>
      </w:pPr>
      <w:r>
        <w:rPr>
          <w:rFonts w:ascii="Times New Roman" w:hAnsi="Times New Roman" w:eastAsia="黑体"/>
          <w:b w:val="0"/>
          <w:color w:val="000000"/>
          <w:sz w:val="44"/>
        </w:rPr>
        <w:t>《智能笔记助手——内置 AI 助手的智能阅读器》</w:t>
      </w:r>
    </w:p>
    <w:p>
      <w:pPr>
        <w:spacing w:after="160"/>
        <w:jc w:val="right"/>
      </w:pPr>
      <w:r>
        <w:rPr>
          <w:rFonts w:ascii="Times New Roman" w:hAnsi="Times New Roman" w:eastAsia="宋体"/>
          <w:b w:val="0"/>
          <w:color w:val="000000"/>
          <w:sz w:val="21"/>
        </w:rPr>
        <w:t>谭火彬 · 潘海侠</w:t>
      </w:r>
    </w:p>
    <w:p>
      <w:pPr>
        <w:spacing w:after="160"/>
        <w:jc w:val="right"/>
      </w:pPr>
      <w:r>
        <w:rPr>
          <w:rFonts w:ascii="Times New Roman" w:hAnsi="Times New Roman" w:eastAsia="宋体"/>
          <w:b w:val="0"/>
          <w:color w:val="000000"/>
          <w:sz w:val="21"/>
        </w:rPr>
        <w:t>北京航空航天大学软件学院</w:t>
      </w:r>
    </w:p>
    <w:p>
      <w:pPr>
        <w:spacing w:after="160"/>
        <w:jc w:val="right"/>
      </w:pPr>
      <w:r>
        <w:rPr>
          <w:rFonts w:ascii="Times New Roman" w:hAnsi="Times New Roman" w:eastAsia="宋体"/>
          <w:b w:val="0"/>
          <w:color w:val="000000"/>
          <w:sz w:val="21"/>
        </w:rPr>
        <w:t>2026-2027 学年第 1 学期</w:t>
      </w:r>
    </w:p>
    <w:p>
      <w:pPr>
        <w:sectPr>
          <w:pgSz w:w="11906" w:h="16838"/>
          <w:pgMar w:top="1389" w:right="1446" w:bottom="1276" w:left="1446" w:header="709" w:footer="709" w:gutter="0"/>
          <w:cols w:space="720"/>
          <w:docGrid w:linePitch="360"/>
        </w:sectPr>
      </w:pPr>
    </w:p>
    <w:p>
      <w:pPr>
        <w:spacing w:after="40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>
      <w:pPr>
        <w:tabs>
          <w:tab w:pos="8787" w:val="right" w:leader="dot"/>
        </w:tabs>
        <w:spacing w:after="120" w:line="276" w:lineRule="auto"/>
        <w:ind w:left="0" w:right="0"/>
      </w:pPr>
      <w:r>
        <w:rPr>
          <w:rFonts w:ascii="Times New Roman" w:hAnsi="Times New Roman" w:eastAsia="黑体"/>
          <w:b/>
          <w:color w:val="000000"/>
          <w:sz w:val="22"/>
        </w:rPr>
        <w:t>一、任务概述</w:t>
      </w:r>
      <w:r>
        <w:rPr>
          <w:rFonts w:ascii="Times New Roman" w:hAnsi="Times New Roman" w:eastAsia="黑体"/>
          <w:b/>
          <w:color w:val="000000"/>
          <w:sz w:val="22"/>
        </w:rPr>
        <w:tab/>
        <w:t>1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（一）任务背景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1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（二）实践目标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2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（三）总体要求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2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（四）创新功能需求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3</w:t>
      </w:r>
    </w:p>
    <w:p>
      <w:pPr>
        <w:tabs>
          <w:tab w:pos="8787" w:val="right" w:leader="dot"/>
        </w:tabs>
        <w:spacing w:after="120" w:line="276" w:lineRule="auto"/>
        <w:ind w:left="0" w:right="0"/>
      </w:pPr>
      <w:r>
        <w:rPr>
          <w:rFonts w:ascii="Times New Roman" w:hAnsi="Times New Roman" w:eastAsia="黑体"/>
          <w:b/>
          <w:color w:val="000000"/>
          <w:sz w:val="22"/>
        </w:rPr>
        <w:t>二、系统分析与设计要求</w:t>
      </w:r>
      <w:r>
        <w:rPr>
          <w:rFonts w:ascii="Times New Roman" w:hAnsi="Times New Roman" w:eastAsia="黑体"/>
          <w:b/>
          <w:color w:val="000000"/>
          <w:sz w:val="22"/>
        </w:rPr>
        <w:tab/>
        <w:t>3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（一）需求调研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3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（二）需求建模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4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（三）需求分析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4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（四）架构设计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4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（五）构件设计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5</w:t>
      </w:r>
    </w:p>
    <w:p>
      <w:pPr>
        <w:tabs>
          <w:tab w:pos="8787" w:val="right" w:leader="dot"/>
        </w:tabs>
        <w:spacing w:after="120" w:line="276" w:lineRule="auto"/>
        <w:ind w:left="0" w:right="0"/>
      </w:pPr>
      <w:r>
        <w:rPr>
          <w:rFonts w:ascii="Times New Roman" w:hAnsi="Times New Roman" w:eastAsia="黑体"/>
          <w:b/>
          <w:color w:val="000000"/>
          <w:sz w:val="22"/>
        </w:rPr>
        <w:t>三、Agentic Coding 实践要求</w:t>
      </w:r>
      <w:r>
        <w:rPr>
          <w:rFonts w:ascii="Times New Roman" w:hAnsi="Times New Roman" w:eastAsia="黑体"/>
          <w:b/>
          <w:color w:val="000000"/>
          <w:sz w:val="22"/>
        </w:rPr>
        <w:tab/>
        <w:t>6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（一）规范驱动开发（SDD）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6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（二）项目上下文文件（AGENTS.md）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6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（三）CodeArts 代码智能体深度应用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6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（四）上下文工程与防御性提示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7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（五）AI 辅助测试与代码审查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7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（六）提示词资产管理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7</w:t>
      </w:r>
    </w:p>
    <w:p>
      <w:pPr>
        <w:tabs>
          <w:tab w:pos="8787" w:val="right" w:leader="dot"/>
        </w:tabs>
        <w:spacing w:after="120" w:line="276" w:lineRule="auto"/>
        <w:ind w:left="0" w:right="0"/>
      </w:pPr>
      <w:r>
        <w:rPr>
          <w:rFonts w:ascii="Times New Roman" w:hAnsi="Times New Roman" w:eastAsia="黑体"/>
          <w:b/>
          <w:color w:val="000000"/>
          <w:sz w:val="22"/>
        </w:rPr>
        <w:t>四、开发与交付要求</w:t>
      </w:r>
      <w:r>
        <w:rPr>
          <w:rFonts w:ascii="Times New Roman" w:hAnsi="Times New Roman" w:eastAsia="黑体"/>
          <w:b/>
          <w:color w:val="000000"/>
          <w:sz w:val="22"/>
        </w:rPr>
        <w:tab/>
        <w:t>7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（一）阶段划分与里程碑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7</w:t>
      </w:r>
    </w:p>
    <w:p>
      <w:pPr>
        <w:tabs>
          <w:tab w:pos="8787" w:val="right" w:leader="dot"/>
        </w:tabs>
        <w:spacing w:after="100" w:line="276" w:lineRule="auto"/>
        <w:ind w:left="425" w:right="0"/>
      </w:pPr>
      <w:r>
        <w:rPr>
          <w:rFonts w:ascii="Times New Roman" w:hAnsi="Times New Roman" w:eastAsia="宋体"/>
          <w:b w:val="0"/>
          <w:color w:val="000000"/>
          <w:sz w:val="20"/>
        </w:rPr>
        <w:t>（二）验收标准</w:t>
      </w:r>
      <w:r>
        <w:rPr>
          <w:rFonts w:ascii="Times New Roman" w:hAnsi="Times New Roman" w:eastAsia="宋体"/>
          <w:b w:val="0"/>
          <w:color w:val="000000"/>
          <w:sz w:val="20"/>
        </w:rPr>
        <w:tab/>
        <w:t>8</w:t>
      </w:r>
    </w:p>
    <w:p>
      <w:pPr>
        <w:sectPr>
          <w:footerReference w:type="default" r:id="rId9"/>
          <w:pgSz w:w="11906" w:h="16838"/>
          <w:pgMar w:top="1389" w:right="1446" w:bottom="1276" w:left="1446" w:header="709" w:footer="709" w:gutter="0"/>
          <w:cols w:space="720"/>
          <w:docGrid w:linePitch="360"/>
        </w:sectPr>
      </w:pP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一、任务概述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（一）任务背景</w:t>
      </w:r>
    </w:p>
    <w:p>
      <w:pPr>
        <w:spacing w:before="0" w:after="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随着电子书、在线课程、科研论文和企业文档大量采用 PDF、网页、Markdown、Word 等数字载体，用户通常需要在阅读、查找、理解和整理之间频繁切换。传统文档阅读器擅长展示页面，却难以回答“这段话是什么意思”“作者的论据是什么”“多个章节之间有什么关系”等问题；读者仍要手工摘录、复制和整理，重要信息也容易失去原文出处。内置 AI 助手的智能阅读器应把文档版面理解、自然语言问答、摘要、批注与知识检索结合起来，让用户在原文上下文中完成阅读和笔记。</w:t>
      </w:r>
    </w:p>
    <w:p>
      <w:pPr>
        <w:spacing w:before="0" w:after="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项目定位建设一套面向学习与办公场景的智能笔记助手。系统以文档阅读器为基础，支持多格式文档导入、目录和版面解析、全文检索、段落级问答、章节摘要、关键概念提取、划线批注、卡片化笔记、引用定位和知识库检索。AI 助手的每个回答都应标注引用的页码、章节或原文片段，用户可以追溯、修改和保存结果。其基本运行和管理机制包括以下几个方面：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文档导入与解析：用户可以上传 PDF、Word、Markdown、网页快照等文档，系统提取文本、标题层级、页码、表格、图片和链接，生成可检索的文档结构；对扫描文档可选用 OCR，并保留解析质量提示。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智能阅读与问答：用户可以在当前段落、当前章节或整篇文档范围内提问，AI 助手根据检索到的原文生成解释、对比、翻译和问题答案；回答必须显示引用位置，找不到依据时应明确说明。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摘要、要点与笔记：系统支持文档摘要、章节摘要、关键概念、论点和待办事项提取；用户可以把 AI 结果或选中文本保存为笔记卡片、批注和标签，并关联原文位置。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 检索与知识组织：支持标题、作者、标签、关键词和全文检索，也可在用户授权的多篇文档中进行语义检索；搜索结果应显示命中文本及其页码或章节，并支持从结果跳转到阅读位置。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5. 协作与数据管理：用户可以对文档、笔记和知识库设置只读、评论或编辑权限，导出带引用的笔记；管理端负责模型配置、配额、索引任务、审计日志和异常处理。</w:t>
      </w:r>
    </w:p>
    <w:p>
      <w:pPr>
        <w:spacing w:before="0" w:after="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系统一期以文档阅读、可追溯问答和智能笔记为主，后续可扩展多模态图表理解、跨文档研究助手、阅读进度分析、复习卡片和与日历或任务系统的集成。</w:t>
      </w:r>
    </w:p>
    <w:p>
      <w:pPr>
        <w:spacing w:before="0" w:after="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本实践任务要求在华为云 CodeArts 平台环境中，以规范的软件工程流程完成需求调研、需求分析、架构及构件设计、编码实现、测试与部署，并系统性实践 Agentic Coding 技术。</w:t>
      </w:r>
    </w:p>
    <w:p>
      <w:r>
        <w:br w:type="page"/>
      </w:r>
    </w:p>
    <w:p>
      <w:pPr>
        <w:keepNext/>
        <w:spacing w:before="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（二）实践目标</w:t>
      </w:r>
    </w:p>
    <w:p>
      <w:pPr>
        <w:keepNext/>
        <w:spacing w:before="0" w:after="40" w:line="312" w:lineRule="auto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1. 知识目标</w:t>
      </w:r>
    </w:p>
    <w:p>
      <w:pPr>
        <w:spacing w:before="0" w:after="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掌握需求工程全过程与 UML 建模方法；掌握分层架构、事件驱动架构、异步任务和架构决策记录；理解 PDF/Office 文档解析、OCR、版面分析、分块与检索增强生成的基本机制；掌握关系数据库、对象存储、全文检索与向量检索的设计方法；掌握 RESTful API、流式响应、权限控制、日志审计和 DevOps 工程实践。</w:t>
      </w:r>
    </w:p>
    <w:p>
      <w:pPr>
        <w:keepNext/>
        <w:spacing w:before="80" w:after="40" w:line="312" w:lineRule="auto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 能力目标</w:t>
      </w:r>
    </w:p>
    <w:p>
      <w:pPr>
        <w:spacing w:before="0" w:after="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能够围绕真实阅读流程开展需求调研，完成智能阅读器的分析与架构设计；能够实现文档导入、解析、索引、段落级问答、引用定位、摘要与笔记的完整链路；能够基于华为云 CodeArts 完成系统实现、测试与部署；能够运用代码智能体、MCP、规范驱动开发等 Agentic Coding 方法提升开发效率，并通过标注测试集、人工评审和运行日志验证 AI 生成结果。</w:t>
      </w:r>
    </w:p>
    <w:p>
      <w:pPr>
        <w:keepNext/>
        <w:spacing w:before="80" w:after="40" w:line="312" w:lineRule="auto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3. 素质目标</w:t>
      </w:r>
    </w:p>
    <w:p>
      <w:pPr>
        <w:spacing w:before="0" w:after="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树立版权保护、隐私保护和数据最小化意识，理解个人文档、受限资料与模型服务的合规边界；培养对模型幻觉、提示注入、越权检索和敏感信息泄露的风险意识；形成以原文证据核验 AI 结论的工作习惯，并提高团队协作、工程表达与持续改进能力。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（三）总体要求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以团队形式完成从需求调研、系统设计、功能实现、测试到部署演示的完整软件生命周期；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采用“规范驱动开发（SDD）＋敏捷迭代”的开发流程，核心模块先形成可评审的 SPEC，再开展编码；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基于华为云 CodeArts 完成需求管理、代码托管、代码检查、构建、测试和流水线部署；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 系统必须能够真实运行，完成“导入文档→解析目录与正文→选中文本提问→生成带引用回答→保存摘要或笔记→检索与导出”的端到端演示；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5. AI 生成内容必须提供人工复核入口和页码、章节或原文片段定位，不得把无法从当前授权文档中核验的推断标记为文档事实；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6. 文档版权、用户隐私和模型输入必须符合数据最小化与访问控制要求。使用外部模型服务时，应在设计文档中说明数据传输范围、保留策略、脱敏方式和替代方案。</w:t>
      </w:r>
    </w:p>
    <w:p>
      <w:r>
        <w:br w:type="page"/>
      </w:r>
    </w:p>
    <w:p>
      <w:pPr>
        <w:keepNext/>
        <w:spacing w:before="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（四）创新功能需求</w:t>
      </w:r>
    </w:p>
    <w:p>
      <w:pPr>
        <w:spacing w:before="0" w:after="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鼓励团队自拟创新功能。示例如下。</w:t>
      </w:r>
    </w:p>
    <w:p>
      <w:pPr>
        <w:spacing w:before="0" w:after="0" w:line="336" w:lineRule="auto"/>
        <w:ind w:left="500" w:hanging="36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➢  多模态文档理解：识别图表、公式、代码块和扫描页中的文字与结构，在问答和摘要中保留图表或页码引用。</w:t>
      </w:r>
    </w:p>
    <w:p>
      <w:pPr>
        <w:spacing w:before="0" w:after="0" w:line="336" w:lineRule="auto"/>
        <w:ind w:left="500" w:hanging="36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➢  跨文档研究助手：对用户授权的多篇论文、规范或课程资料进行对比问答，回答中列出来源文档、页码和相互矛盾的观点。</w:t>
      </w:r>
    </w:p>
    <w:p>
      <w:pPr>
        <w:spacing w:before="0" w:after="0" w:line="336" w:lineRule="auto"/>
        <w:ind w:left="500" w:hanging="36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➢  智能阅读路径：根据目录结构、用户标记和前置概念生成阅读顺序，提示尚未理解的术语和相关章节。</w:t>
      </w:r>
    </w:p>
    <w:p>
      <w:pPr>
        <w:spacing w:before="0" w:after="0" w:line="336" w:lineRule="auto"/>
        <w:ind w:left="500" w:hanging="36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➢  个性化笔记模板：支持论文精读、技术规范、课程教材和办公文档等模板，允许配置字段、提示词和输出格式。</w:t>
      </w:r>
    </w:p>
    <w:p>
      <w:pPr>
        <w:spacing w:before="0" w:after="0" w:line="336" w:lineRule="auto"/>
        <w:ind w:left="500" w:hanging="36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➢  复习卡片与引用导出：从选中文本生成知识卡片、自测题或带页码的 Markdown/Word 引用，允许用户逐条修订。</w:t>
      </w:r>
    </w:p>
    <w:p>
      <w:pPr>
        <w:keepNext/>
        <w:spacing w:before="160" w:after="160" w:line="276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二、系统分析与设计要求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（一）需求调研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设计调研方案：围绕智能阅读器定位，明确调研目标与调研对象，包括学生、教师、科研人员、产品或运营人员、团队管理者和系统管理员；确定背景资料研读、同类阅读器分析、文档样本调研、访谈与可用性测试等方法及时间安排，形成调研方案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开展场景与技术调研：梳理论文精读、课程学习、技术规范查阅和办公文档审阅等场景；调研 PDF/Office/网页解析、OCR、目录识别、表格与公式抽取、分块、全文与向量检索、流式问答和结构化输出等能力；比较本地模型与云端模型服务在准确率、时延、成本、隐私和可维护性方面的权衡。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开展数据与合规调研：确认可用于测试的公开或经授权文档样本，设计脱敏、版权标识、访问控制和删除机制；梳理受限文档、个人资料、外部模型调用和引用展示等要求，禁止使用未经授权的真实资料作为演示数据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 输出需求调研报告（含调研材料与 PPT），明确用户痛点、业务边界、模型能力边界、非功能需求与优先级，并通过需求调研评审。</w:t>
      </w:r>
    </w:p>
    <w:p>
      <w:r>
        <w:br w:type="page"/>
      </w:r>
    </w:p>
    <w:p>
      <w:pPr>
        <w:keepNext/>
        <w:spacing w:before="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（二）需求建模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用例建模：绘制系统用例图，覆盖普通用户的导入文档、解析与校对、阅读、段落提问、生成摘要、创建批注与笔记、检索、导出与分享，以及管理员的用户与配额管理、模型配置、索引任务、审计查询等用例，标注参与者及其关系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活动图：绘制文档阅读与问答核心流程活动图，描述文档上传、解析、分块、索引、选中文本、检索上下文、生成回答、展示引用和人工确认之间的顺序与异常分支。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状态图：绘制文档处理任务状态机，定义待上传、解析中、OCR 中、索引中、可阅读、失败、重试、已归档等状态及合法转换；必要时单独描述问答任务状态。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 编写系统需求规格说明书（SRS）与核心模块开发规范（SPEC），重点覆盖文档解析、分块与索引、引用定位、权限过滤、提示注入防护和失败恢复等逻辑，输出 SRS、PPT 及支撑材料，并通过需求建模评审。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（三）需求分析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寻找系统中的业务对象：识别用户、工作空间、成员权限、文档、文档版本、页面、段落、目录节点、解析任务、索引片段、摘要、问答会话、引用、批注、笔记卡片、标签、分享链接、模型配置、提示词模板和审计日志等核心业务对象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构建系统分析模型：绘制由业务对象构成的核心业务类图，描述属性、方法以及关联、聚合和组合关系，明确原文、页面、段落、引用和 AI 结果之间的可追溯关系。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构建关键用例的交互模型：绘制文档导入解析流程、段落问答流程、跨文档检索流程和笔记保存流程的时序图，体现前端、网关、任务服务、解析器、模型适配器、存储与检索组件之间的交互。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 输出系统核心业务类图和关键用例交互模型（Word 文档、PPT 及支撑材料），并通过需求分析评审。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（四）架构设计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架构调研与选型：调研分层架构、微服务架构、事件驱动架构和检索增强生成架构，对比其解析吞吐、问答时延、开发复杂度、弹性扩展、成本与故障隔离能力，完成软件架构调研分析报告并论证选型。</w:t>
      </w:r>
    </w:p>
    <w:p>
      <w:r>
        <w:br w:type="page"/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架构设计：设计目标系统架构，完成系统架构设计说明书。逻辑架构可划分为接入与展现层、应用服务层、文档与 AI 处理层、检索与数据层，明确各层职责、依赖关系和同步或异步通信边界，给出架构图及文档到回答的数据流图。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服务划分：至少划分认证与权限服务、文档服务、解析与 OCR 服务、索引服务、阅读与笔记服务、AI 问答服务、检索服务、分享与导出服务、任务调度服务和管理后台，并说明各服务职责、接口和通信方式。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 部署架构：基于华为云 ECS 或 CCE、RDS、OBS、CSS 等能力绘制部署拓扑图，说明 Web 应用、业务服务、解析器、模型适配器、消息队列、数据库、对象存储和检索引擎的部署方式与网络边界；外部模型服务应通过独立适配层接入。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5. 架构决策记录（ADR）：至少记录 3 条关键架构决策，例如 PDF/Office 解析方案、全文检索与向量检索的组合、模型本地部署或云端调用、长文档分块与引用定位方案。每条记录包含背景、备选方案、决策与后果。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6. 质量属性设计：围绕可用性、性能、安全、版权、隐私、可追溯性和可维护性定义质量属性场景，说明解析失败后的重试与幂等机制、模型超时降级、敏感信息保护、日志脱敏、索引更新和数据删除策略。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7. 输出软件架构调研分析报告和系统架构设计说明书（含 PPT 及支撑材料），并通过架构设计评审。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（五）构件设计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数据库与检索设计：绘制 E-R 图；设计用户、工作空间、文档、文档版本、页面、段落、目录节点、解析任务、索引片段、问答会话、引用、批注、笔记卡片、标签、权限、模型配置和审计日志等核心表，给出字段、类型、约束与索引。设计全文索引、向量索引、分块策略、权限过滤与索引更新机制，编制数据库设计说明书及模型文件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UI 设计：绘制工作台、文档导入页、双栏阅读页、目录导航、AI 助手侧栏、选中文本工具条、摘要页、批注与笔记页、搜索页、分享设置页和管理后台等线框图或原型图；说明翻页、缩放、目录跳转、引用高亮、模型处理中、人工确认与错误恢复等关键交互；制定统一的配色、字体和组件规范。</w:t>
      </w:r>
    </w:p>
    <w:p>
      <w:r>
        <w:br w:type="page"/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接口设计：制定 RESTful API 规范与流式响应消息规范；编制文档上传、解析状态查询、目录与页面获取、问答、摘要生成、批注与笔记保存、检索、分享与导出等核心接口清单；输出 OpenAPI 文档，并设计异步任务的幂等键、进度查询、取消与重试机制。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 AI 与规则设计：确定文档解析、OCR、摘要、问答、翻译和信息抽取的模型接口及结构化输出 Schema；设计长文档分块、上下文组装、引用定位、事实一致性检查、敏感信息识别、提示注入防护和失败降级方案；建立可复现的文档评测集与指标。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5. 其他设计：根据需求分析补充消息队列、缓存、阅读进度、通知提醒、导出模板、数据归档与清理等构件设计。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6. 输出数据库设计说明书、数据库设计模型文件、UI 与接口设计、AI 处理设计及其他构件设计说明书，并通过构件设计评审。</w:t>
      </w:r>
    </w:p>
    <w:p>
      <w:pPr>
        <w:keepNext/>
        <w:spacing w:before="160" w:after="160" w:line="276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三、Agentic Coding 实践要求</w:t>
      </w:r>
    </w:p>
    <w:p>
      <w:pPr>
        <w:spacing w:before="0" w:after="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将当前 Agentic Coding 技术纳入课程实践，以下内容须在最终答辩中展示完整证据。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（一）规范驱动开发（SDD）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编码前为每个核心模块编写开发规范（SPEC），明确功能、接口、算法或约束和验收标准，重点覆盖文档解析、分块与索引、问答上下文、结构化输出 Schema、引用定位、权限过滤和检索排序。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规范先行、代码履约：Agent 生成代码前必须存在对应规范，规范与源码一并纳入版本管理；需求或模型接口变化时同步更新规范。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保存规范评审意见、修改记录和规范—代码对应关系。</w:t>
      </w:r>
    </w:p>
    <w:p>
      <w:pPr>
        <w:spacing w:before="0" w:after="0" w:line="348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交付证据：SPEC 文档目录、评审记录、规范—代码对应关系表。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（二）项目上下文文件（AGENTS.md）</w:t>
      </w:r>
    </w:p>
    <w:p>
      <w:pPr>
        <w:spacing w:before="0" w:after="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在仓库根目录建立 AGENTS.md，记录常用构建与测试命令、架构概览、文档解析与问答数据流、模型适配方式、版权和隐私约束及团队约定，并保持精简；每次开发前由 Agent 读取。</w:t>
      </w:r>
    </w:p>
    <w:p>
      <w:pPr>
        <w:spacing w:before="0" w:after="0" w:line="348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交付证据：AGENTS.md 文件及内容说明。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（三）CodeArts 代码智能体深度应用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使用代码智能体完成项目级代码生成、代码续写、代码解释、单元测试、调试自愈或代码修复等 5 类任务。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对 AI 生成代码进行人工审查与修改，记录至少 3 个“AI 生成→人工修正”案例，其中至少 1 个涉及权限、隐私或模型输出校验。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总结代码智能体在文档解析、检索增强生成、复杂权限规则和 AI 模型集成中的能力边界与失效模式。</w:t>
      </w:r>
    </w:p>
    <w:p>
      <w:pPr>
        <w:spacing w:before="0" w:after="0" w:line="348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交付证据：AI 使用日志、修正案例记录。</w:t>
      </w:r>
    </w:p>
    <w:p>
      <w:r>
        <w:br w:type="page"/>
      </w:r>
    </w:p>
    <w:p>
      <w:pPr>
        <w:keepNext/>
        <w:spacing w:before="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（四）上下文工程与防御性提示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控制 Agent 上下文，规避上下文污染、上下文分心、上下文混乱和上下文冲突；对模型接口、业务术语和隐私边界提供稳定且可版本化的上下文。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采用防御性提示编写规范：说明输入与输出 Schema、证据引用规则、禁止推断项、异常处理和人工检查点；把文档内容视为不可信输入，防止文档中的指令改变系统提示、诱导泄露其他文档或触发越权工具调用。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对预计超过 1 小时的 Agent 长任务设置人工确认检查点，对涉及数据删除、权限变更和外部发布的操作设置明确审批。</w:t>
      </w:r>
    </w:p>
    <w:p>
      <w:pPr>
        <w:spacing w:before="0" w:after="0" w:line="348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交付证据：规范文档中的上下文管理与防御性设计说明。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（五）AI 辅助测试与代码审查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使用 AI 生成单元测试与接口测试，核心模块中行覆盖率不低于 80% 的模块不少于 3 个；应覆盖文档解析状态转换、结构化输出校验、权限过滤、引用定位和失败重试。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对目录识别、段落切分、摘要、问答和引用定位建立小型标注测试集，记录样本来源、授权情况、指标定义、模型或提示词版本和评测结果；模型变更后执行回归评测。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代码审查遵循“AI Gold Zone／Human Zone”分工：格式、常见缺陷、性能与安全问题由 AI 辅助检查，业务逻辑、隐私边界、模型结论和关键架构决策由人工负责。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 记录 AI 审查与人工审查的对比结论，包括漏报、误报和修正依据。</w:t>
      </w:r>
    </w:p>
    <w:p>
      <w:pPr>
        <w:spacing w:before="0" w:after="0" w:line="348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交付证据：测试报告、模型评测报告、审查记录。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（六）提示词资产管理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将摘要、问答、翻译、术语解释、要点提取和笔记生成等提示词及输出 Schema 纳入版本管理，记录适用模型与变更原因。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建立提示词资产清单，至少包含用途、版本、输入约束、输出格式、效果评估和已知风险。</w:t>
      </w:r>
    </w:p>
    <w:p>
      <w:pPr>
        <w:spacing w:before="0" w:after="0" w:line="348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交付证据：提示词资产清单与版本记录。</w:t>
      </w:r>
    </w:p>
    <w:p>
      <w:pPr>
        <w:keepNext/>
        <w:spacing w:before="160" w:after="160" w:line="276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四、开发与交付要求</w:t>
      </w:r>
    </w:p>
    <w:p>
      <w:pPr>
        <w:keepNext/>
        <w:spacing w:before="1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（一）阶段划分与里程碑</w:t>
      </w:r>
    </w:p>
    <w:p>
      <w:pPr>
        <w:spacing w:before="0" w:after="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项目实践开发阶段划分及里程碑参考表 4-1，具体实施时间按照实际教学进度安排。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表 4-1  开发阶段划分及里程碑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3"/>
        <w:gridCol w:w="1803"/>
        <w:gridCol w:w="1803"/>
        <w:gridCol w:w="1803"/>
        <w:gridCol w:w="1803"/>
      </w:tblGrid>
      <w:tr>
        <w:trPr>
          <w:tblHeader w:val="true"/>
        </w:trPr>
        <w:tc>
          <w:tcPr>
            <w:tcW w:type="dxa" w:w="1191"/>
            <w:vAlign w:val="center"/>
            <w:shd w:fill="D9D9D9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阶段</w:t>
            </w:r>
          </w:p>
        </w:tc>
        <w:tc>
          <w:tcPr>
            <w:tcW w:type="dxa" w:w="1134"/>
            <w:vAlign w:val="center"/>
            <w:shd w:fill="D9D9D9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时间</w:t>
            </w:r>
          </w:p>
        </w:tc>
        <w:tc>
          <w:tcPr>
            <w:tcW w:type="dxa" w:w="2608"/>
            <w:vAlign w:val="center"/>
            <w:shd w:fill="D9D9D9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主要任务</w:t>
            </w:r>
          </w:p>
        </w:tc>
        <w:tc>
          <w:tcPr>
            <w:tcW w:type="dxa" w:w="2721"/>
            <w:vAlign w:val="center"/>
            <w:shd w:fill="D9D9D9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阶段交付物</w:t>
            </w:r>
          </w:p>
        </w:tc>
        <w:tc>
          <w:tcPr>
            <w:tcW w:type="dxa" w:w="1191"/>
            <w:vAlign w:val="center"/>
            <w:shd w:fill="D9D9D9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评审点</w:t>
            </w:r>
          </w:p>
        </w:tc>
      </w:tr>
      <w:tr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需求调研</w:t>
            </w:r>
          </w:p>
        </w:tc>
        <w:tc>
          <w:tcPr>
            <w:tcW w:type="dxa" w:w="1134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第2～6周</w:t>
            </w:r>
          </w:p>
        </w:tc>
        <w:tc>
          <w:tcPr>
            <w:tcW w:type="dxa" w:w="2608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设计调研方案，开展场景、模型能力与合规调研</w:t>
            </w:r>
          </w:p>
        </w:tc>
        <w:tc>
          <w:tcPr>
            <w:tcW w:type="dxa" w:w="272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需求调研报告、PPT及调研材料</w:t>
            </w:r>
          </w:p>
        </w:tc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需求调研评审</w:t>
            </w:r>
          </w:p>
        </w:tc>
      </w:tr>
      <w:tr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需求建模</w:t>
            </w:r>
          </w:p>
        </w:tc>
        <w:tc>
          <w:tcPr>
            <w:tcW w:type="dxa" w:w="1134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第3～6周</w:t>
            </w:r>
          </w:p>
        </w:tc>
        <w:tc>
          <w:tcPr>
            <w:tcW w:type="dxa" w:w="2608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用例建模、SRS、核心模块SPEC、评测方案</w:t>
            </w:r>
          </w:p>
        </w:tc>
        <w:tc>
          <w:tcPr>
            <w:tcW w:type="dxa" w:w="272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SRS、PPT及支撑材料</w:t>
            </w:r>
          </w:p>
        </w:tc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需求建模评审</w:t>
            </w:r>
          </w:p>
        </w:tc>
      </w:tr>
      <w:tr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需求分析</w:t>
            </w:r>
          </w:p>
        </w:tc>
        <w:tc>
          <w:tcPr>
            <w:tcW w:type="dxa" w:w="1134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第7～8周</w:t>
            </w:r>
          </w:p>
        </w:tc>
        <w:tc>
          <w:tcPr>
            <w:tcW w:type="dxa" w:w="2608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识别业务对象，构建类模型和关键用例交互模型</w:t>
            </w:r>
          </w:p>
        </w:tc>
        <w:tc>
          <w:tcPr>
            <w:tcW w:type="dxa" w:w="272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核心业务类图、时序图、Word文档及PPT</w:t>
            </w:r>
          </w:p>
        </w:tc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需求分析评审</w:t>
            </w:r>
          </w:p>
        </w:tc>
      </w:tr>
      <w:tr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架构设计</w:t>
            </w:r>
          </w:p>
        </w:tc>
        <w:tc>
          <w:tcPr>
            <w:tcW w:type="dxa" w:w="1134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第9～11周</w:t>
            </w:r>
          </w:p>
        </w:tc>
        <w:tc>
          <w:tcPr>
            <w:tcW w:type="dxa" w:w="2608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完成架构调研、系统架构、数据流与ADR</w:t>
            </w:r>
          </w:p>
        </w:tc>
        <w:tc>
          <w:tcPr>
            <w:tcW w:type="dxa" w:w="272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架构调研报告、架构设计说明书及PPT</w:t>
            </w:r>
          </w:p>
        </w:tc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架构设计评审</w:t>
            </w:r>
          </w:p>
        </w:tc>
      </w:tr>
      <w:tr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构件设计</w:t>
            </w:r>
          </w:p>
        </w:tc>
        <w:tc>
          <w:tcPr>
            <w:tcW w:type="dxa" w:w="1134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第10～12周</w:t>
            </w:r>
          </w:p>
        </w:tc>
        <w:tc>
          <w:tcPr>
            <w:tcW w:type="dxa" w:w="2608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数据库、检索、UI、接口和AI处理设计</w:t>
            </w:r>
          </w:p>
        </w:tc>
        <w:tc>
          <w:tcPr>
            <w:tcW w:type="dxa" w:w="272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数据库模型、接口文档、构件设计说明书</w:t>
            </w:r>
          </w:p>
        </w:tc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构件设计评审</w:t>
            </w:r>
          </w:p>
        </w:tc>
      </w:tr>
      <w:tr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功能实现</w:t>
            </w:r>
          </w:p>
        </w:tc>
        <w:tc>
          <w:tcPr>
            <w:tcW w:type="dxa" w:w="1134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第10～17周</w:t>
            </w:r>
          </w:p>
        </w:tc>
        <w:tc>
          <w:tcPr>
            <w:tcW w:type="dxa" w:w="2608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实现端到端阅读与问答链路并打通流水线</w:t>
            </w:r>
          </w:p>
        </w:tc>
        <w:tc>
          <w:tcPr>
            <w:tcW w:type="dxa" w:w="272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可运行系统与阶段演示</w:t>
            </w:r>
          </w:p>
        </w:tc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  <w:shd w:fill="F7F7F7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阶段演示</w:t>
            </w:r>
          </w:p>
        </w:tc>
      </w:tr>
      <w:tr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部署与答辩</w:t>
            </w:r>
          </w:p>
        </w:tc>
        <w:tc>
          <w:tcPr>
            <w:tcW w:type="dxa" w:w="1134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第17周</w:t>
            </w:r>
          </w:p>
        </w:tc>
        <w:tc>
          <w:tcPr>
            <w:tcW w:type="dxa" w:w="2608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系统测试、文档评测、部署、文档完善与答辩</w:t>
            </w:r>
          </w:p>
        </w:tc>
        <w:tc>
          <w:tcPr>
            <w:tcW w:type="dxa" w:w="272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部署系统、测试与评测报告、答辩PPT</w:t>
            </w:r>
          </w:p>
        </w:tc>
        <w:tc>
          <w:tcPr>
            <w:tcW w:type="dxa" w:w="1191"/>
            <w:vAlign w:val="center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  <w:insideH w:val="single" w:sz="8" w:space="0" w:color="7F7F7F"/>
              <w:insideV w:val="single" w:sz="8" w:space="0" w:color="7F7F7F"/>
            </w:tcBorders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答辩演示</w:t>
            </w:r>
          </w:p>
        </w:tc>
      </w:tr>
    </w:tbl>
    <w:p>
      <w:pPr>
        <w:keepNext/>
        <w:spacing w:before="240" w:after="100" w:line="288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（二）验收标准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1. 必做功能：完成用户与工作空间管理、文档导入与解析、目录和正文阅读、段落级问答、摘要与要点生成、引用定位、批注与笔记、检索、分享或导出等核心功能，并通过验收。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2. 创新功能：至少实现 1 项，并说明用户价值、设计依据和评测方法。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3. 质量指标：在团队声明的测试环境与经授权测试集上，常见文档导入后可在 10 秒内开始阅读；AI 回答中的关键结论均可定位到页码、章节或原文片段；目录识别、引用定位和问答检索的核心指标达到项目 SPEC 约定值，且评测结果可复现。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4. 可靠性与安全：支持解析与问答任务失败重试和幂等控制；验证未授权用户不能访问文档、笔记和分享内容；用户删除文档后，相关文件、文本、索引、缓存与分享链接按设计策略清理。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5. 答辩演示：演示一次“导入文档→解析目录与正文→选中文本提问→生成带引用回答→保存笔记→检索与导出”的完整链路，并展示至少 2 项 Agentic Coding 实践证据。</w:t>
      </w:r>
    </w:p>
    <w:p>
      <w:pPr>
        <w:spacing w:before="0" w:after="0" w:line="348" w:lineRule="auto"/>
        <w:ind w:left="420" w:hanging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6. 文档齐全：全部交付物规范、完整，模型、提示词、测试集、文档样本和关键配置均有版本记录。</w:t>
      </w:r>
    </w:p>
    <w:sectPr w:rsidR="00FC693F" w:rsidRPr="0006063C" w:rsidSect="00034616">
      <w:footerReference w:type="default" r:id="rId10"/>
      <w:pgSz w:w="11906" w:h="16838"/>
      <w:pgMar w:top="1389" w:right="1446" w:bottom="1276" w:left="1446" w:header="709" w:footer="70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智能笔记助手内置 AI 助手的智能阅读器课程实践任务书</dc:title>
  <dc:subject>软件系统分析与设计课程实践</dc:subject>
  <dc:creator>谭火彬；潘海侠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