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智能阅读器样本：复杂方案记录</w:t>
      </w:r>
    </w:p>
    <w:p>
      <w:pPr>
        <w:pStyle w:val="Heading1"/>
      </w:pPr>
      <w:r>
        <w:t xml:space="preserve">摘要</w:t>
      </w:r>
    </w:p>
    <w:p>
      <w:r>
        <w:t xml:space="preserve">这是一个包含中英文混排、编号条款、表格和长段落的自制文档。</w:t>
      </w:r>
    </w:p>
    <w:p>
      <w:pPr>
        <w:pStyle w:val="Heading1"/>
      </w:pPr>
      <w:r>
        <w:t xml:space="preserve">A. 数据处理流程</w:t>
      </w:r>
    </w:p>
    <w:p>
      <w:r>
        <w:t xml:space="preserve">输入文件经过格式识别、解析、结构归一化和证据定位。每一步都应保留可复现的配置。</w:t>
      </w:r>
    </w:p>
    <w:p>
      <w:pPr>
        <w:pStyle w:val="Heading2"/>
      </w:pPr>
      <w:r>
        <w:t xml:space="preserve">A.1 失败处理</w:t>
      </w:r>
    </w:p>
    <w:p>
      <w:r>
        <w:t xml:space="preserve">当 OCR 置信度不足时，系统应保留原页图像，并把结果标记为需要人工核验。</w:t>
      </w:r>
    </w:p>
    <w:p>
      <w:pPr>
        <w:pStyle w:val="Heading1"/>
      </w:pPr>
      <w:r>
        <w:t xml:space="preserve">B. 附录</w:t>
      </w:r>
    </w:p>
    <w:p>
      <w:r>
        <w:t xml:space="preserve">附录内容故意放在分页符之后，用于检查跨页段落和页脚处理。</w:t>
      </w:r>
    </w:p>
    <w:tbl>
      <w:tblPr>
        <w:tblStyle w:val="TableGrid"/>
      </w:tblPr>
      <w:tr>
        <w:tc>
          <w:tcPr>
            <w:tcW w:w="2400" w:type="dxa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输入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输出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风险</w:t>
            </w:r>
          </w:p>
        </w:tc>
      </w:tr>
      <w:tr>
        <w:tc>
          <w:tcPr>
            <w:tcW w:w="2400" w:type="dxa"/>
          </w:tcPr>
          <w:p>
            <w:r>
              <w:t xml:space="preserve">解析</w:t>
            </w:r>
          </w:p>
        </w:tc>
        <w:tc>
          <w:tcPr>
            <w:tcW w:w="2400" w:type="dxa"/>
          </w:tcPr>
          <w:p>
            <w:r>
              <w:t xml:space="preserve">原始文件</w:t>
            </w:r>
          </w:p>
        </w:tc>
        <w:tc>
          <w:tcPr>
            <w:tcW w:w="2400" w:type="dxa"/>
          </w:tcPr>
          <w:p>
            <w:r>
              <w:t xml:space="preserve">结构块</w:t>
            </w:r>
          </w:p>
        </w:tc>
        <w:tc>
          <w:tcPr>
            <w:tcW w:w="2400" w:type="dxa"/>
          </w:tcPr>
          <w:p>
            <w:r>
              <w:t xml:space="preserve">阅读顺序</w:t>
            </w:r>
          </w:p>
        </w:tc>
      </w:tr>
      <w:tr>
        <w:tc>
          <w:tcPr>
            <w:tcW w:w="2400" w:type="dxa"/>
          </w:tcPr>
          <w:p>
            <w:r>
              <w:t xml:space="preserve">检索</w:t>
            </w:r>
          </w:p>
        </w:tc>
        <w:tc>
          <w:tcPr>
            <w:tcW w:w="2400" w:type="dxa"/>
          </w:tcPr>
          <w:p>
            <w:r>
              <w:t xml:space="preserve">问题</w:t>
            </w:r>
          </w:p>
        </w:tc>
        <w:tc>
          <w:tcPr>
            <w:tcW w:w="2400" w:type="dxa"/>
          </w:tcPr>
          <w:p>
            <w:r>
              <w:t xml:space="preserve">证据块</w:t>
            </w:r>
          </w:p>
        </w:tc>
        <w:tc>
          <w:tcPr>
            <w:tcW w:w="2400" w:type="dxa"/>
          </w:tcPr>
          <w:p>
            <w:r>
              <w:t xml:space="preserve">召回不足</w:t>
            </w:r>
          </w:p>
        </w:tc>
      </w:tr>
      <w:tr>
        <w:tc>
          <w:tcPr>
            <w:tcW w:w="2400" w:type="dxa"/>
          </w:tcPr>
          <w:p>
            <w:r>
              <w:t xml:space="preserve">回答</w:t>
            </w:r>
          </w:p>
        </w:tc>
        <w:tc>
          <w:tcPr>
            <w:tcW w:w="2400" w:type="dxa"/>
          </w:tcPr>
          <w:p>
            <w:r>
              <w:t xml:space="preserve">证据</w:t>
            </w:r>
          </w:p>
        </w:tc>
        <w:tc>
          <w:tcPr>
            <w:tcW w:w="2400" w:type="dxa"/>
          </w:tcPr>
          <w:p>
            <w:r>
              <w:t xml:space="preserve">引用回答</w:t>
            </w:r>
          </w:p>
        </w:tc>
        <w:tc>
          <w:tcPr>
            <w:tcW w:w="2400" w:type="dxa"/>
          </w:tcPr>
          <w:p>
            <w:r>
              <w:t xml:space="preserve">无依据生成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分页后的附录</w:t>
      </w:r>
    </w:p>
    <w:p>
      <w:r>
        <w:t xml:space="preserve">此段位于显式分页符之后，不能与上一页的段落简单拼接。</w:t>
      </w:r>
    </w:p>
    <w:sectPr>
      <w:headerReference xmlns:r="http://schemas.openxmlformats.org/officeDocument/2006/relationships" w:type="default" r:id="rId2"/>
      <w:footerReference xmlns:r="http://schemas.openxmlformats.org/officeDocument/2006/relationships" w:type="default" r:id="rId3"/>
      <w:pgSz w:w="11906" w:h="16838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SELF-AUTHORED | footer reference</w:t>
    </w:r>
  </w:p>
</w:ftr>
</file>

<file path=word/footnotes.xml><?xml version="1.0" encoding="utf-8"?>
<w:footnotes xmlns:w="http://schemas.openxmlformats.org/wordprocessingml/2006/main">
  <w:footnote w:id="-1">
    <w:p/>
  </w:footnote>
  <w:footnote w:id="0">
    <w:p/>
  </w:footnote>
  <w:footnote w:id="1">
    <w:p>
      <w:r>
        <w:t>这是自制脚注，用于验证脚注元素和正文引用的关联。</w:t>
      </w:r>
    </w:p>
  </w:footnote>
</w:footnotes>
</file>

<file path=word/header1.xml><?xml version="1.0" encoding="utf-8"?>
<w:hdr xmlns:w="http://schemas.openxmlformats.org/wordprocessingml/2006/main">
  <w:p>
    <w:r>
      <w:t>智能阅读器自制样本 | 页眉测试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uiPriority w:val="1"/>
    <w:qFormat/>
    <w:pPr>
      <w:jc w:val="center"/>
    </w:pPr>
    <w:rPr>
      <w:b/>
      <w:sz w:val="32"/>
    </w:rPr>
  </w:style>
  <w:style w:type="paragraph" w:styleId="Heading1">
    <w:name w:val="heading 1"/>
    <w:basedOn w:val="Normal"/>
    <w:uiPriority w:val="9"/>
    <w:qFormat/>
    <w:outlineLvl w:val="0"/>
    <w:rPr>
      <w:b/>
      <w:sz w:val="28"/>
    </w:rPr>
  </w:style>
  <w:style w:type="paragraph" w:styleId="Heading2">
    <w:name w:val="heading 2"/>
    <w:basedOn w:val="Normal"/>
    <w:uiPriority w:val="9"/>
    <w:qFormat/>
    <w:outlineLvl w:val="1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footnotes" Target="footnotes.xml"/>
</Relationships>
</file>