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4"/>
        <w:gridCol w:w="9684"/>
      </w:tblGrid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B31E59" w:rsidRPr="00B31E59" w:rsidRDefault="00B31E59" w:rsidP="00B31E59">
            <w:pPr>
              <w:shd w:val="clear" w:color="auto" w:fill="FFFFFF"/>
              <w:spacing w:after="72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31E59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эксперимента</w:t>
            </w:r>
          </w:p>
          <w:p w:rsidR="006025C3" w:rsidRDefault="006025C3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</w:pPr>
          </w:p>
          <w:p w:rsidR="008F02B0" w:rsidRDefault="008F02B0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 w:rsidRPr="008F02B0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Цель эксперимента - удостовериться, что предложенный далее алгоритм имеет предсказательную способность</w:t>
            </w:r>
          </w:p>
          <w:p w:rsidR="008F02B0" w:rsidRPr="00877A66" w:rsidRDefault="00877A66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Задачей эксперимента является проверка алгоритма </w:t>
            </w:r>
            <w:r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>Random</w:t>
            </w:r>
            <w:r w:rsidRPr="00877A66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>Forest</w:t>
            </w:r>
            <w:r w:rsidR="00577677" w:rsidRPr="00577677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(</w:t>
            </w:r>
            <w:r w:rsidR="00577677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параметром 2000 деревьев)</w:t>
            </w:r>
            <w:r w:rsidR="00577677" w:rsidRPr="00577677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</w:t>
            </w:r>
            <w:r w:rsidRPr="00877A66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запущенного на финансовых отчетах и новостей фондовой биржи. Алгоритм тестировался по 9-ти акциям и их изменениям цены с 2002 по 2009 года. Использовались данные по следующим котировкам</w:t>
            </w:r>
            <w:r w:rsidRPr="00877A66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:</w:t>
            </w:r>
          </w:p>
          <w:p w:rsidR="00877A66" w:rsidRPr="00877A66" w:rsidRDefault="00877A66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1095"/>
              <w:gridCol w:w="864"/>
              <w:gridCol w:w="805"/>
              <w:gridCol w:w="962"/>
              <w:gridCol w:w="815"/>
              <w:gridCol w:w="806"/>
              <w:gridCol w:w="806"/>
              <w:gridCol w:w="806"/>
              <w:gridCol w:w="1121"/>
              <w:gridCol w:w="864"/>
            </w:tblGrid>
            <w:tr w:rsidR="00877A66" w:rsidTr="00877A66">
              <w:tc>
                <w:tcPr>
                  <w:tcW w:w="805" w:type="dxa"/>
                </w:tcPr>
                <w:p w:rsidR="00877A66" w:rsidRP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Название фирмы</w:t>
                  </w:r>
                </w:p>
              </w:tc>
              <w:tc>
                <w:tcPr>
                  <w:tcW w:w="805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Google</w:t>
                  </w:r>
                </w:p>
              </w:tc>
              <w:tc>
                <w:tcPr>
                  <w:tcW w:w="805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Apple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Amazon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Adobe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HP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IBM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Intel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proofErr w:type="spellStart"/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MicroSoft</w:t>
                  </w:r>
                  <w:proofErr w:type="spellEnd"/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proofErr w:type="spellStart"/>
                  <w:r w:rsidRPr="008F02B0"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  <w:t>NVidia</w:t>
                  </w:r>
                  <w:proofErr w:type="spellEnd"/>
                </w:p>
              </w:tc>
            </w:tr>
            <w:tr w:rsidR="00877A66" w:rsidTr="00877A66">
              <w:tc>
                <w:tcPr>
                  <w:tcW w:w="805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Листинг на бирже</w:t>
                  </w:r>
                </w:p>
              </w:tc>
              <w:tc>
                <w:tcPr>
                  <w:tcW w:w="805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GOOG</w:t>
                  </w:r>
                </w:p>
              </w:tc>
              <w:tc>
                <w:tcPr>
                  <w:tcW w:w="805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AAPL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AMZN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ADBE</w:t>
                  </w:r>
                </w:p>
              </w:tc>
              <w:tc>
                <w:tcPr>
                  <w:tcW w:w="806" w:type="dxa"/>
                </w:tcPr>
                <w:p w:rsidR="00877A66" w:rsidRP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val="en-US" w:eastAsia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t>HPQ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IBM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INTC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MSFT</w:t>
                  </w:r>
                </w:p>
              </w:tc>
              <w:tc>
                <w:tcPr>
                  <w:tcW w:w="806" w:type="dxa"/>
                </w:tcPr>
                <w:p w:rsidR="00877A66" w:rsidRDefault="00877A66" w:rsidP="008F02B0">
                  <w:pPr>
                    <w:spacing w:line="171" w:lineRule="atLeast"/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</w:pPr>
                  <w:r w:rsidRPr="00877A66">
                    <w:rPr>
                      <w:rFonts w:ascii="Times New Roman" w:eastAsia="Times New Roman" w:hAnsi="Times New Roman" w:cs="Times New Roman"/>
                      <w:color w:val="24292E"/>
                      <w:lang w:eastAsia="ru-RU"/>
                    </w:rPr>
                    <w:t>NVDA</w:t>
                  </w:r>
                </w:p>
              </w:tc>
            </w:tr>
          </w:tbl>
          <w:p w:rsidR="00877A66" w:rsidRPr="008F02B0" w:rsidRDefault="00877A66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77A66" w:rsidRPr="00577677" w:rsidRDefault="00877A66" w:rsidP="00877A66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  <w:p w:rsidR="008F02B0" w:rsidRDefault="00577677" w:rsidP="00577677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Использовались следующие методы для извлечения признаков из текста</w:t>
            </w:r>
          </w:p>
          <w:p w:rsidR="00577677" w:rsidRPr="00577677" w:rsidRDefault="00577677" w:rsidP="00577677">
            <w:pPr>
              <w:pStyle w:val="a5"/>
              <w:numPr>
                <w:ilvl w:val="0"/>
                <w:numId w:val="1"/>
              </w:num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>Unigram</w:t>
            </w:r>
          </w:p>
          <w:p w:rsidR="00577677" w:rsidRPr="00577677" w:rsidRDefault="00577677" w:rsidP="00577677">
            <w:pPr>
              <w:pStyle w:val="a5"/>
              <w:numPr>
                <w:ilvl w:val="0"/>
                <w:numId w:val="1"/>
              </w:num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 w:rsidRPr="008F02B0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NMF(50)</w:t>
            </w:r>
          </w:p>
          <w:p w:rsidR="00577677" w:rsidRPr="00577677" w:rsidRDefault="00577677" w:rsidP="00577677">
            <w:pPr>
              <w:pStyle w:val="a5"/>
              <w:numPr>
                <w:ilvl w:val="0"/>
                <w:numId w:val="1"/>
              </w:num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 w:rsidRPr="008F02B0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NMF(100)</w:t>
            </w:r>
          </w:p>
          <w:p w:rsidR="00577677" w:rsidRPr="00577677" w:rsidRDefault="00577677" w:rsidP="00577677">
            <w:pPr>
              <w:pStyle w:val="a5"/>
              <w:numPr>
                <w:ilvl w:val="0"/>
                <w:numId w:val="1"/>
              </w:num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 w:rsidRPr="008F02B0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NMF(200)</w:t>
            </w:r>
          </w:p>
          <w:p w:rsidR="00577677" w:rsidRDefault="00577677" w:rsidP="00577677">
            <w:pPr>
              <w:pStyle w:val="a5"/>
              <w:numPr>
                <w:ilvl w:val="0"/>
                <w:numId w:val="1"/>
              </w:num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Ансамбль из этих признаков</w:t>
            </w:r>
          </w:p>
          <w:p w:rsidR="00577677" w:rsidRDefault="00577677" w:rsidP="00577677">
            <w:pPr>
              <w:pStyle w:val="a5"/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  <w:p w:rsidR="00577677" w:rsidRPr="00577677" w:rsidRDefault="00577677" w:rsidP="00674335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Общее чи</w:t>
            </w:r>
            <w:r w:rsidR="00674335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сл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о признаков в разных моделях составило около 16000</w:t>
            </w:r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577677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577677" w:rsidRPr="00674335" w:rsidRDefault="00577677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  <w:p w:rsidR="00577677" w:rsidRDefault="00577677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В</w:t>
            </w:r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работе</w:t>
            </w:r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использовались</w:t>
            </w:r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данные</w:t>
            </w:r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из</w:t>
            </w:r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статьи</w:t>
            </w:r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proofErr w:type="gramStart"/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>:</w:t>
            </w:r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“</w:t>
            </w:r>
            <w:proofErr w:type="spellStart"/>
            <w:proofErr w:type="gramEnd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Heeyoung</w:t>
            </w:r>
            <w:proofErr w:type="spellEnd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 xml:space="preserve"> Lee, </w:t>
            </w:r>
            <w:proofErr w:type="spellStart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Mihai</w:t>
            </w:r>
            <w:proofErr w:type="spellEnd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 xml:space="preserve"> </w:t>
            </w:r>
            <w:proofErr w:type="spellStart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Surdeanu</w:t>
            </w:r>
            <w:proofErr w:type="spellEnd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 xml:space="preserve">, Bill </w:t>
            </w:r>
            <w:proofErr w:type="spellStart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MacCartney</w:t>
            </w:r>
            <w:proofErr w:type="spellEnd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 xml:space="preserve">, and Dan </w:t>
            </w:r>
            <w:proofErr w:type="spellStart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Jurafsky</w:t>
            </w:r>
            <w:proofErr w:type="spellEnd"/>
            <w:r w:rsidRPr="00577677">
              <w:rPr>
                <w:rFonts w:ascii="Times New Roman" w:eastAsia="Times New Roman" w:hAnsi="Times New Roman" w:cs="Times New Roman"/>
                <w:i/>
                <w:color w:val="24292E"/>
                <w:lang w:val="en-US" w:eastAsia="ru-RU"/>
              </w:rPr>
              <w:t>. On the Importance of Text Analysis for Stock Price Prediction.”</w:t>
            </w:r>
            <w:r w:rsidRPr="00577677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 xml:space="preserve"> </w:t>
            </w:r>
            <w:hyperlink r:id="rId5" w:history="1">
              <w:r w:rsidRPr="00740325">
                <w:rPr>
                  <w:rStyle w:val="a4"/>
                  <w:rFonts w:ascii="Times New Roman" w:eastAsia="Times New Roman" w:hAnsi="Times New Roman" w:cs="Times New Roman"/>
                  <w:lang w:eastAsia="ru-RU"/>
                </w:rPr>
                <w:t>http://nlp.stanford.edu/pubs/stock-event.html</w:t>
              </w:r>
            </w:hyperlink>
          </w:p>
          <w:p w:rsidR="00577677" w:rsidRPr="00577677" w:rsidRDefault="00577677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</w:pPr>
          </w:p>
          <w:p w:rsidR="008F02B0" w:rsidRDefault="00577677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b/>
                <w:color w:val="24292E"/>
                <w:lang w:eastAsia="ru-RU"/>
              </w:rPr>
            </w:pPr>
            <w:r w:rsidRPr="00577677">
              <w:rPr>
                <w:rFonts w:ascii="Times New Roman" w:eastAsia="Times New Roman" w:hAnsi="Times New Roman" w:cs="Times New Roman"/>
                <w:b/>
                <w:color w:val="24292E"/>
                <w:lang w:eastAsia="ru-RU"/>
              </w:rPr>
              <w:t>Полученные результаты</w:t>
            </w:r>
          </w:p>
          <w:p w:rsidR="00674335" w:rsidRDefault="00674335" w:rsidP="00674335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На разных признаках была вычислена точность предсказания при помощи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валидационных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данных с 2009 по 2010 года.</w:t>
            </w:r>
          </w:p>
          <w:p w:rsidR="00674335" w:rsidRDefault="00674335" w:rsidP="00674335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Самым точным среди остальных оказался ансамблевый метод</w:t>
            </w:r>
          </w:p>
          <w:p w:rsidR="00674335" w:rsidRPr="008F02B0" w:rsidRDefault="00674335" w:rsidP="00674335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674335" w:rsidRPr="006025C3" w:rsidRDefault="00674335" w:rsidP="00674335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Описание алгоритма </w:t>
            </w:r>
            <w:r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>Rando</w:t>
            </w:r>
            <w:r w:rsidR="006025C3"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>m</w:t>
            </w:r>
            <w:r w:rsidRPr="00674335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  <w:t>Forest</w:t>
            </w:r>
            <w:r w:rsidRPr="00674335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доступно</w:t>
            </w:r>
            <w:r w:rsidRPr="00674335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по ссылке</w:t>
            </w:r>
            <w:r w:rsidRPr="00674335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>:</w:t>
            </w:r>
          </w:p>
          <w:p w:rsidR="008F02B0" w:rsidRPr="008F02B0" w:rsidRDefault="00674335" w:rsidP="00674335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</w:pPr>
            <w:r w:rsidRPr="006025C3">
              <w:rPr>
                <w:rFonts w:ascii="Times New Roman" w:eastAsia="Times New Roman" w:hAnsi="Times New Roman" w:cs="Times New Roman"/>
                <w:color w:val="24292E"/>
                <w:lang w:eastAsia="ru-RU"/>
              </w:rPr>
              <w:t xml:space="preserve"> </w:t>
            </w:r>
            <w:hyperlink r:id="rId6" w:history="1"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https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://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scikit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-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learn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.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org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/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stable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/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modules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/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tree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.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html</w:t>
              </w:r>
              <w:r w:rsidRPr="006025C3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#</w:t>
              </w:r>
              <w:r w:rsidRPr="00674335">
                <w:rPr>
                  <w:rStyle w:val="a4"/>
                  <w:rFonts w:ascii="Times New Roman" w:eastAsia="Times New Roman" w:hAnsi="Times New Roman" w:cs="Times New Roman"/>
                  <w:lang w:val="en-US" w:eastAsia="ru-RU"/>
                </w:rPr>
                <w:t>tree</w:t>
              </w:r>
            </w:hyperlink>
          </w:p>
        </w:tc>
      </w:tr>
      <w:tr w:rsidR="008F02B0" w:rsidRPr="008F02B0" w:rsidTr="008F02B0">
        <w:tc>
          <w:tcPr>
            <w:tcW w:w="954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jc w:val="right"/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8F02B0" w:rsidRPr="008F02B0" w:rsidRDefault="008F02B0" w:rsidP="008F02B0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24292E"/>
                <w:lang w:val="en-US" w:eastAsia="ru-RU"/>
              </w:rPr>
            </w:pPr>
          </w:p>
        </w:tc>
      </w:tr>
    </w:tbl>
    <w:p w:rsidR="008F02B0" w:rsidRPr="006025C3" w:rsidRDefault="008F02B0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10"/>
        <w:gridCol w:w="1828"/>
        <w:gridCol w:w="1833"/>
        <w:gridCol w:w="1833"/>
        <w:gridCol w:w="1838"/>
      </w:tblGrid>
      <w:tr w:rsidR="008F02B0" w:rsidRPr="008F02B0" w:rsidTr="008F02B0">
        <w:tc>
          <w:tcPr>
            <w:tcW w:w="1910" w:type="dxa"/>
          </w:tcPr>
          <w:p w:rsidR="008F02B0" w:rsidRPr="008F02B0" w:rsidRDefault="008F02B0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 xml:space="preserve">Ось X (модель): </w:t>
            </w:r>
            <w:proofErr w:type="spellStart"/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RF_unigram</w:t>
            </w:r>
            <w:proofErr w:type="spellEnd"/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28" w:type="dxa"/>
          </w:tcPr>
          <w:p w:rsidR="008F02B0" w:rsidRPr="008F02B0" w:rsidRDefault="008F02B0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RF_NMF_50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8F02B0" w:rsidRPr="008F02B0" w:rsidRDefault="008F02B0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RF_NMF_100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8F02B0" w:rsidRPr="008F02B0" w:rsidRDefault="008F02B0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RF_NMF_200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8" w:type="dxa"/>
          </w:tcPr>
          <w:p w:rsidR="008F02B0" w:rsidRPr="008F02B0" w:rsidRDefault="008F02B0">
            <w:proofErr w:type="spellStart"/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RF_Ensemble</w:t>
            </w:r>
            <w:proofErr w:type="spellEnd"/>
          </w:p>
        </w:tc>
      </w:tr>
      <w:tr w:rsidR="008F02B0" w:rsidRPr="008F02B0" w:rsidTr="008F02B0">
        <w:tc>
          <w:tcPr>
            <w:tcW w:w="1910" w:type="dxa"/>
          </w:tcPr>
          <w:p w:rsidR="008F02B0" w:rsidRPr="008F02B0" w:rsidRDefault="008F02B0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Ось</w:t>
            </w:r>
            <w:r w:rsidRPr="008F02B0">
              <w:rPr>
                <w:rFonts w:ascii="Consolas" w:hAnsi="Consolas"/>
                <w:color w:val="24292E"/>
                <w:shd w:val="clear" w:color="auto" w:fill="FFFFFF"/>
                <w:lang w:val="en-US"/>
              </w:rPr>
              <w:t xml:space="preserve"> Y (</w:t>
            </w:r>
            <w:proofErr w:type="spellStart"/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ошибка</w:t>
            </w:r>
            <w:proofErr w:type="spellEnd"/>
            <w:r w:rsidRPr="008F02B0">
              <w:rPr>
                <w:rFonts w:ascii="Consolas" w:hAnsi="Consolas"/>
                <w:color w:val="24292E"/>
                <w:shd w:val="clear" w:color="auto" w:fill="FFFFFF"/>
                <w:lang w:val="en-US"/>
              </w:rPr>
              <w:t xml:space="preserve">): </w:t>
            </w:r>
            <w:proofErr w:type="spellStart"/>
            <w:r w:rsidRPr="008F02B0">
              <w:rPr>
                <w:rFonts w:ascii="Consolas" w:hAnsi="Consolas"/>
                <w:color w:val="24292E"/>
                <w:shd w:val="clear" w:color="auto" w:fill="FFFFFF"/>
                <w:lang w:val="en-US"/>
              </w:rPr>
              <w:t>accuracy_score</w:t>
            </w:r>
            <w:proofErr w:type="spellEnd"/>
          </w:p>
        </w:tc>
        <w:tc>
          <w:tcPr>
            <w:tcW w:w="1828" w:type="dxa"/>
          </w:tcPr>
          <w:p w:rsidR="008F02B0" w:rsidRPr="008F02B0" w:rsidRDefault="008F02B0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F1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8F02B0" w:rsidRPr="008F02B0" w:rsidRDefault="008F02B0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AUCROC</w:t>
            </w:r>
          </w:p>
        </w:tc>
        <w:tc>
          <w:tcPr>
            <w:tcW w:w="1833" w:type="dxa"/>
          </w:tcPr>
          <w:p w:rsidR="008F02B0" w:rsidRPr="008F02B0" w:rsidRDefault="008F02B0">
            <w:pPr>
              <w:rPr>
                <w:lang w:val="en-US"/>
              </w:rPr>
            </w:pPr>
          </w:p>
        </w:tc>
        <w:tc>
          <w:tcPr>
            <w:tcW w:w="1838" w:type="dxa"/>
          </w:tcPr>
          <w:p w:rsidR="008F02B0" w:rsidRPr="008F02B0" w:rsidRDefault="008F02B0">
            <w:pPr>
              <w:rPr>
                <w:lang w:val="en-US"/>
              </w:rPr>
            </w:pPr>
          </w:p>
        </w:tc>
      </w:tr>
      <w:tr w:rsidR="008F02B0" w:rsidRPr="008F02B0" w:rsidTr="008F02B0">
        <w:tc>
          <w:tcPr>
            <w:tcW w:w="1910" w:type="dxa"/>
          </w:tcPr>
          <w:p w:rsidR="008F02B0" w:rsidRPr="008F02B0" w:rsidRDefault="008F02B0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Ось Z (выборки): 2002-2009</w:t>
            </w:r>
          </w:p>
        </w:tc>
        <w:tc>
          <w:tcPr>
            <w:tcW w:w="1828" w:type="dxa"/>
          </w:tcPr>
          <w:p w:rsidR="008F02B0" w:rsidRPr="008F02B0" w:rsidRDefault="008F02B0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2002-2009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8F02B0" w:rsidRPr="008F02B0" w:rsidRDefault="008F02B0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2010-2011</w:t>
            </w:r>
          </w:p>
        </w:tc>
        <w:tc>
          <w:tcPr>
            <w:tcW w:w="1833" w:type="dxa"/>
          </w:tcPr>
          <w:p w:rsidR="008F02B0" w:rsidRPr="008F02B0" w:rsidRDefault="008F02B0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2012-2013</w:t>
            </w:r>
          </w:p>
        </w:tc>
        <w:tc>
          <w:tcPr>
            <w:tcW w:w="1838" w:type="dxa"/>
          </w:tcPr>
          <w:p w:rsidR="008F02B0" w:rsidRPr="008F02B0" w:rsidRDefault="008F02B0">
            <w:pPr>
              <w:rPr>
                <w:lang w:val="en-US"/>
              </w:rPr>
            </w:pPr>
          </w:p>
        </w:tc>
      </w:tr>
    </w:tbl>
    <w:p w:rsidR="00915DDB" w:rsidRPr="008F02B0" w:rsidRDefault="00915DDB">
      <w:pPr>
        <w:rPr>
          <w:lang w:val="en-US"/>
        </w:rPr>
      </w:pPr>
    </w:p>
    <w:sectPr w:rsidR="00915DDB" w:rsidRPr="008F02B0" w:rsidSect="00877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7C2C"/>
    <w:multiLevelType w:val="hybridMultilevel"/>
    <w:tmpl w:val="CFCEC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F02B0"/>
    <w:rsid w:val="00577677"/>
    <w:rsid w:val="006025C3"/>
    <w:rsid w:val="00674335"/>
    <w:rsid w:val="00877A66"/>
    <w:rsid w:val="008F02B0"/>
    <w:rsid w:val="00915DDB"/>
    <w:rsid w:val="00B31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DDB"/>
  </w:style>
  <w:style w:type="paragraph" w:styleId="3">
    <w:name w:val="heading 3"/>
    <w:basedOn w:val="a"/>
    <w:link w:val="30"/>
    <w:uiPriority w:val="9"/>
    <w:qFormat/>
    <w:rsid w:val="00B31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77A6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776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1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31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tree.html%23tree" TargetMode="External"/><Relationship Id="rId5" Type="http://schemas.openxmlformats.org/officeDocument/2006/relationships/hyperlink" Target="http://nlp.stanford.edu/pubs/stock-ev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2018-12-07T20:39:00Z</dcterms:created>
  <dcterms:modified xsi:type="dcterms:W3CDTF">2018-12-07T21:30:00Z</dcterms:modified>
</cp:coreProperties>
</file>