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titleHead"/>
        <w:spacing w:before="200" w:after="120"/>
        <w:rPr/>
      </w:pPr>
      <w:r>
        <w:rPr/>
        <w:t>Глубокое обучение в задачах классификации временных рядов</w:t>
      </w:r>
    </w:p>
    <w:p>
      <w:pPr>
        <w:pStyle w:val="TextBody"/>
        <w:rPr/>
      </w:pPr>
      <w:r>
        <w:rPr/>
      </w:r>
    </w:p>
    <w:p>
      <w:pPr>
        <w:pStyle w:val="TextBodynoindent"/>
        <w:jc w:val="left"/>
        <w:rPr/>
      </w:pPr>
      <w:r>
        <w:rPr/>
        <w:t>О. Ю. Бахтеев, М. С. Попова,  В. В. Стрижов</w:t>
      </w:r>
    </w:p>
    <w:p>
      <w:pPr>
        <w:pStyle w:val="TextBodynoindent"/>
        <w:jc w:val="left"/>
        <w:rPr/>
      </w:pPr>
      <w:r>
        <w:rPr/>
        <w:t>Московский физико-технический институт</w:t>
        <w:br/>
      </w:r>
    </w:p>
    <w:p>
      <w:pPr>
        <w:pStyle w:val="TextBodynoindent"/>
        <w:rPr/>
      </w:pPr>
      <w:r>
        <w:rPr/>
        <w:t xml:space="preserve">Решается задача классификации временных рядов акселерометра мобильного телефона. Строится сеть глубокого обучения. Структура сети — композиция ограниченной машины Больцмана, автокодировщика и двухслойной нейросети. Анализируется зависимость ошибки классификации от числа параметров и размера обучающей выборки. Работа посвящена построению сети глубокого обучения и оптимизации ее параметров с помощью вычислительных мощностей графического ускорителя на основе сервиса облачных вычислений Amazon Web Services. </w:t>
      </w:r>
    </w:p>
    <w:p>
      <w:pPr>
        <w:pStyle w:val="TextBodyindent"/>
        <w:rPr/>
      </w:pPr>
      <w:r>
        <w:rPr/>
        <w:t xml:space="preserve">Эксперимент проводится с использованием Theano — библиотеки для вычислений для языка Python. Theano активно используется для построения моделей глубокого обучения, а также для построения более специализированных библиотек. Функции вычислений Theano компилируются, что позволяет выполнять вычисления за приемлемое время. Другой отличительной особенностью Theano является возможность применения графического процессора с использованием архитектуры параллельных вычислений CUDA. Также в экспериментальном режиме доступна возможность применить интерфейс OpenCL. </w:t>
      </w:r>
    </w:p>
    <w:p>
      <w:pPr>
        <w:pStyle w:val="TextBodynoindent"/>
        <w:spacing w:before="0" w:after="0"/>
        <w:rPr>
          <w:b/>
        </w:rPr>
      </w:pPr>
      <w:r>
        <w:rPr>
          <w:b/>
        </w:rPr>
        <w:t>П</w:t>
      </w:r>
      <w:r>
        <w:rPr>
          <w:b/>
        </w:rPr>
        <w:t>остановка задачи.</w:t>
      </w:r>
    </w:p>
    <w:p>
      <w:pPr>
        <w:pStyle w:val="TextBodynoindent"/>
        <w:spacing w:before="0" w:after="0"/>
        <w:rPr/>
      </w:pPr>
      <w:r>
        <w:rPr/>
        <w:t xml:space="preserve"> </w:t>
      </w:r>
      <w:r>
        <w:rPr/>
        <w:t xml:space="preserve">Пусть задана выборка 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9"/>
        <w:gridCol w:w="1135"/>
      </w:tblGrid>
      <w:tr>
        <w:trPr>
          <w:tblHeader w:val="true"/>
          <w:cantSplit w:val="false"/>
        </w:trPr>
        <w:tc>
          <w:tcPr>
            <w:tcW w:w="9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{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1,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w="1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</w:r>
          </w:p>
        </w:tc>
      </w:tr>
    </w:tbl>
    <w:p>
      <w:pPr>
        <w:pStyle w:val="TextBodynopar"/>
        <w:rPr/>
      </w:pPr>
      <w:r>
        <w:rPr/>
        <w:t xml:space="preserve">состоящая из множества пар объект – класс, </w:t>
      </w:r>
      <w:r>
        <w:rPr>
          <w:b/>
        </w:rPr>
        <w:t>x</w:t>
      </w:r>
      <w:r>
        <w:rPr>
          <w:i/>
          <w:position w:val="-5"/>
          <w:sz w:val="19"/>
        </w:rPr>
        <w:t>i</w:t>
      </w:r>
      <w:r>
        <w:rPr/>
        <w:t xml:space="preserve"> ∈ ℝ</w:t>
      </w:r>
      <w:r>
        <w:rPr>
          <w:i/>
          <w:position w:val="8"/>
          <w:sz w:val="19"/>
        </w:rPr>
        <w:t>n</w:t>
      </w:r>
      <w:r>
        <w:rPr/>
        <w:t xml:space="preserve">. Каждый объект </w:t>
      </w:r>
      <w:r>
        <w:rPr>
          <w:b/>
        </w:rPr>
        <w:t xml:space="preserve">x </w:t>
      </w:r>
      <w:r>
        <w:rPr/>
        <w:t xml:space="preserve">принадлежит одному из </w:t>
      </w:r>
      <w:r>
        <w:rPr>
          <w:i/>
        </w:rPr>
        <w:t xml:space="preserve">Z </w:t>
      </w:r>
      <w:r>
        <w:rPr/>
        <w:t xml:space="preserve">классов с меткой </w:t>
      </w:r>
      <w:r>
        <w:rPr>
          <w:i/>
        </w:rPr>
        <w:t>y</w:t>
      </w:r>
      <w:r>
        <w:rPr>
          <w:i/>
          <w:position w:val="-5"/>
          <w:sz w:val="19"/>
        </w:rPr>
        <w:t>i</w:t>
      </w:r>
      <w:r>
        <w:rPr/>
        <w:t xml:space="preserve"> ∈ </w:t>
      </w:r>
      <w:r>
        <w:rPr>
          <w:b/>
        </w:rPr>
        <w:t xml:space="preserve">Y </w:t>
      </w:r>
      <w:r>
        <w:rPr/>
        <w:t>= {1</w:t>
      </w:r>
      <w:r>
        <w:rPr>
          <w:i/>
        </w:rPr>
        <w:t>,</w:t>
      </w:r>
      <w:r>
        <w:rPr/>
        <w:t>…</w:t>
      </w:r>
      <w:r>
        <w:rPr>
          <w:i/>
        </w:rPr>
        <w:t>,Z</w:t>
      </w:r>
      <w:r>
        <w:rPr/>
        <w:t xml:space="preserve">}. </w:t>
      </w:r>
    </w:p>
    <w:p>
      <w:pPr>
        <w:pStyle w:val="TextBodyindent"/>
        <w:spacing w:before="0" w:after="0"/>
        <w:rPr/>
      </w:pPr>
      <w:r>
        <w:rPr/>
        <w:t xml:space="preserve">Моделью классификации или сетью глубокого обучения </w:t>
      </w:r>
      <w:r>
        <w:rPr>
          <w:b/>
        </w:rPr>
        <w:t xml:space="preserve">f </w:t>
      </w:r>
      <w:r>
        <w:rPr/>
        <w:t xml:space="preserve">назовем суперпозицию функций 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9"/>
        <w:gridCol w:w="1135"/>
      </w:tblGrid>
      <w:tr>
        <w:trPr>
          <w:tblHeader w:val="true"/>
          <w:cantSplit w:val="false"/>
        </w:trPr>
        <w:tc>
          <w:tcPr>
            <w:tcW w:w="9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: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ℝ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→</m:t>
              </m:r>
              <m:sSup>
                <m:e>
                  <m:d>
                    <m:dPr>
                      <m:begChr m:val="["/>
                      <m:endChr m:val="]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Z</m:t>
                  </m:r>
                </m:sup>
              </m:sSup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w="1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extBodynopar"/>
        <w:rPr/>
      </w:pPr>
      <w:r>
        <w:rPr/>
        <w:t xml:space="preserve">где </w:t>
      </w:r>
      <w:bookmarkStart w:id="0" w:name="__DdeLink__182_117663185"/>
      <w:r>
        <w:rPr>
          <w:b/>
          <w:i/>
        </w:rPr>
        <w:t>μ</w:t>
      </w:r>
      <w:bookmarkEnd w:id="0"/>
      <w:r>
        <w:rPr>
          <w:i/>
          <w:position w:val="-5"/>
          <w:sz w:val="19"/>
        </w:rPr>
        <w:t>k</w:t>
      </w:r>
      <w:r>
        <w:rPr>
          <w:i/>
        </w:rPr>
        <w:t xml:space="preserve">,k </w:t>
      </w:r>
      <w:r>
        <w:rPr/>
        <w:t>∈{1</w:t>
      </w:r>
      <w:r>
        <w:rPr>
          <w:i/>
        </w:rPr>
        <w:t>,</w:t>
      </w:r>
      <w:r>
        <w:rPr/>
        <w:t>…</w:t>
      </w:r>
      <w:r>
        <w:rPr>
          <w:i/>
        </w:rPr>
        <w:t xml:space="preserve">, </w:t>
      </w:r>
      <w:r>
        <w:rPr/>
        <w:t>3}</w:t>
      </w:r>
      <w:r>
        <w:rPr>
          <w:i/>
        </w:rPr>
        <w:t xml:space="preserve">, </w:t>
      </w:r>
      <w:r>
        <w:rPr/>
        <w:t xml:space="preserve">— модели, параметрическое семейство вектор-функции; </w:t>
      </w:r>
      <w:r>
        <w:rPr>
          <w:b/>
        </w:rPr>
        <w:t xml:space="preserve">w </w:t>
      </w:r>
      <w:r>
        <w:rPr/>
        <w:t xml:space="preserve">— вектор параметров моделей; </w:t>
      </w:r>
      <w:r>
        <w:rPr>
          <w:i/>
        </w:rPr>
        <w:t>r</w:t>
      </w:r>
      <w:r>
        <w:rPr/>
        <w:t xml:space="preserve">-ю компоненту вектора </w:t>
      </w:r>
      <w:r>
        <w:rPr>
          <w:b/>
        </w:rPr>
        <w:t>f</w:t>
      </w:r>
      <w:r>
        <w:rPr/>
        <w:t>(</w:t>
      </w:r>
      <w:r>
        <w:rPr>
          <w:b/>
        </w:rPr>
        <w:t>x</w:t>
      </w:r>
      <w:r>
        <w:rPr>
          <w:i/>
        </w:rPr>
        <w:t>,</w:t>
      </w:r>
      <w:r>
        <w:rPr>
          <w:b/>
        </w:rPr>
        <w:t>w</w:t>
      </w:r>
      <w:r>
        <w:rPr/>
        <w:t xml:space="preserve">) будем интерпретировать как вероятность отнесения объекта </w:t>
      </w:r>
      <w:r>
        <w:rPr>
          <w:b/>
        </w:rPr>
        <w:t>x</w:t>
      </w:r>
      <w:r>
        <w:rPr>
          <w:i/>
          <w:position w:val="-5"/>
          <w:sz w:val="19"/>
        </w:rPr>
        <w:t>i</w:t>
      </w:r>
      <w:r>
        <w:rPr/>
        <w:t xml:space="preserve"> к классу с меткой </w:t>
      </w:r>
      <w:r>
        <w:rPr>
          <w:i/>
        </w:rPr>
        <w:t>r</w:t>
      </w:r>
      <w:r>
        <w:rPr/>
        <w:t xml:space="preserve">. </w:t>
      </w:r>
    </w:p>
    <w:p>
      <w:pPr>
        <w:pStyle w:val="TextBodyindent"/>
        <w:spacing w:before="0" w:after="0"/>
        <w:rPr/>
      </w:pPr>
      <w:r>
        <w:rPr/>
        <w:t xml:space="preserve">Требуется минимизировать функцию ошибки </w:t>
      </w:r>
      <w:r>
        <w:rPr>
          <w:i/>
        </w:rPr>
        <w:t xml:space="preserve">S </w:t>
      </w:r>
      <w:r>
        <w:rPr/>
        <w:t xml:space="preserve">на обучающей выборке: 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9"/>
        <w:gridCol w:w="1135"/>
      </w:tblGrid>
      <w:tr>
        <w:trPr>
          <w:tblHeader w:val="true"/>
          <w:cantSplit w:val="false"/>
        </w:trPr>
        <w:tc>
          <w:tcPr>
            <w:tcW w:w="9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</w:r>
            <m:oMath xmlns:m="http://schemas.openxmlformats.org/officeDocument/2006/math"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argmin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w</m:t>
                  </m:r>
                </m:sub>
              </m:sSub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  <m:r>
                    <w:rPr>
                      <w:rFonts w:ascii="Cambria Math" w:hAnsi="Cambria Math"/>
                    </w:rPr>
                    <m:t xml:space="preserve">|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</m:oMath>
          </w:p>
        </w:tc>
        <w:tc>
          <w:tcPr>
            <w:tcW w:w="11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</w:r>
          </w:p>
        </w:tc>
      </w:tr>
    </w:tbl>
    <w:p>
      <w:pPr>
        <w:pStyle w:val="TextBodyindent"/>
        <w:jc w:val="center"/>
        <w:rPr/>
      </w:pPr>
      <w:r>
        <w:rPr/>
      </w:r>
    </w:p>
    <w:p>
      <w:pPr>
        <w:pStyle w:val="TextBodynopar"/>
        <w:spacing w:before="0" w:after="0"/>
        <w:rPr/>
      </w:pPr>
      <w:r>
        <w:rPr/>
        <w:t xml:space="preserve">где </w:t>
      </w:r>
      <w:r>
        <w:rPr>
          <w:i/>
        </w:rPr>
        <w:t xml:space="preserve">S </w:t>
      </w:r>
      <w:r>
        <w:rPr/>
        <w:t xml:space="preserve">— сумма отрицательных логарифмов правдоподобия по всем объектам выборки: 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9"/>
        <w:gridCol w:w="1195"/>
      </w:tblGrid>
      <w:tr>
        <w:trPr>
          <w:tblHeader w:val="true"/>
          <w:cantSplit w:val="false"/>
        </w:trPr>
        <w:tc>
          <w:tcPr>
            <w:tcW w:w="90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  <m:r>
                    <w:rPr>
                      <w:rFonts w:ascii="Cambria Math" w:hAnsi="Cambria Math"/>
                    </w:rPr>
                    <m:t xml:space="preserve">|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−</m:t>
              </m:r>
              <m:nary>
                <m:naryPr>
                  <m:chr m:val="∑"/>
                  <m:supHide m:val="1"/>
                </m:naryPr>
                <m: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∈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  <m:sup/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sup>
                    <m:e>
                      <m:d>
                        <m:dPr>
                          <m:begChr m:val="["/>
                          <m:endChr m:val="]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|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w</m:t>
                  </m:r>
                </m:e>
              </m:d>
              <m:r>
                <w:rPr>
                  <w:rFonts w:ascii="Cambria Math" w:hAnsi="Cambria Math"/>
                </w:rPr>
                <m:t xml:space="preserve">.</m:t>
              </m:r>
            </m:oMath>
          </w:p>
        </w:tc>
        <w:tc>
          <w:tcPr>
            <w:tcW w:w="11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extBodynopar"/>
        <w:rPr/>
      </w:pPr>
      <w:r>
        <w:rPr/>
        <w:t>Сеть глубокого обучения состоит из трех основных компонент: ограниченной машины Больцмана </w:t>
      </w:r>
      <w:r>
        <w:rPr>
          <w:b/>
          <w:i/>
        </w:rPr>
        <w:t>μ</w:t>
      </w:r>
      <w:r>
        <w:rPr>
          <w:position w:val="-5"/>
          <w:sz w:val="19"/>
        </w:rPr>
        <w:t>1</w:t>
      </w:r>
      <w:r>
        <w:rPr/>
        <w:t>, автокодировщика </w:t>
      </w:r>
      <w:r>
        <w:rPr>
          <w:b/>
          <w:i/>
        </w:rPr>
        <w:t>μ</w:t>
      </w:r>
      <w:r>
        <w:rPr>
          <w:position w:val="-5"/>
          <w:sz w:val="19"/>
        </w:rPr>
        <w:t>2</w:t>
      </w:r>
      <w:r>
        <w:rPr/>
        <w:t xml:space="preserve"> и двухслойной нейросети с softmax-классификатором </w:t>
      </w:r>
      <w:r>
        <w:rPr>
          <w:b/>
          <w:i/>
        </w:rPr>
        <w:t>μ</w:t>
      </w:r>
      <w:r>
        <w:rPr>
          <w:position w:val="-5"/>
          <w:sz w:val="19"/>
        </w:rPr>
        <w:t>3</w:t>
      </w:r>
      <w:r>
        <w:rPr/>
        <w:t xml:space="preserve">. </w:t>
      </w:r>
    </w:p>
    <w:p>
      <w:pPr>
        <w:pStyle w:val="TextBodynoindent"/>
        <w:rPr>
          <w:b/>
        </w:rPr>
      </w:pPr>
      <w:bookmarkStart w:id="1" w:name="x1-2000"/>
      <w:bookmarkEnd w:id="1"/>
      <w:r>
        <w:rPr>
          <w:b/>
        </w:rPr>
        <w:t>Общий план запуска алгоритма.</w:t>
      </w:r>
    </w:p>
    <w:p>
      <w:pPr>
        <w:pStyle w:val="TextBodynoindent"/>
        <w:rPr/>
      </w:pPr>
      <w:r>
        <w:rPr/>
        <w:t xml:space="preserve"> </w:t>
      </w:r>
      <w:r>
        <w:rPr/>
        <w:t xml:space="preserve">Для запуска алгоритма на сервере AWS требуется зарегистрироваться на AWS, сконфигурировать экземпляр AWS (instance), скопировать код и данные проекта на сервер и подключиться к серверу по протоколу SSH. После этого требуется зайти в папку с проектом, запустить вычислительный эксперимент, скопировать полученные результаты эксперимента на локальный компьютер и уничтожить экземпляр. </w:t>
      </w:r>
    </w:p>
    <w:p>
      <w:pPr>
        <w:pStyle w:val="TextBodynoindent"/>
        <w:rPr>
          <w:b/>
        </w:rPr>
      </w:pPr>
      <w:bookmarkStart w:id="2" w:name="x1-3000"/>
      <w:bookmarkEnd w:id="2"/>
      <w:r>
        <w:rPr>
          <w:b/>
        </w:rPr>
        <w:t>Вычислительный эксперимент.</w:t>
      </w:r>
    </w:p>
    <w:p>
      <w:pPr>
        <w:pStyle w:val="TextBodynoindent"/>
        <w:rPr/>
      </w:pPr>
      <w:r>
        <w:rPr/>
        <w:t xml:space="preserve"> </w:t>
      </w:r>
      <w:r>
        <w:rPr/>
        <w:t>Набор данных содержит записи движений для 6 классов переменной длины по трем координатам акселерометра мобильного телефона. Из каждой записи использовались первые 200 сегментов. Пример данных из выборки WISDM приведен на рис. </w:t>
      </w:r>
      <w:hyperlink w:anchor="x1-30011">
        <w:r>
          <w:rPr>
            <w:rStyle w:val="InternetLink"/>
          </w:rPr>
          <w:t>1</w:t>
        </w:r>
      </w:hyperlink>
      <w:r>
        <w:rPr/>
        <w:t xml:space="preserve">. Т. к. выборка не сбалансирована, в нее добавлялись повторы записей классов, содержащих количество записей, меньшее чем у большего класса. </w:t>
      </w:r>
    </w:p>
    <w:p>
      <w:pPr>
        <w:pStyle w:val="TextBodynoindent"/>
        <w:spacing w:before="0" w:after="0"/>
        <w:rPr/>
      </w:pPr>
      <w:r>
        <w:rPr/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34366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noindent"/>
        <w:jc w:val="center"/>
        <w:rPr/>
      </w:pPr>
      <w:r>
        <w:rPr/>
        <w:t>Рис. 1: Пример временных рядов из выборки WISDM, проекция на первую координату. Проекции, соответствующие сидению и бегу были сдвинуты для наглядности.</w:t>
      </w:r>
    </w:p>
    <w:p>
      <w:pPr>
        <w:pStyle w:val="TextBodynoindent"/>
        <w:spacing w:before="0" w:after="0"/>
        <w:jc w:val="center"/>
        <w:rPr/>
      </w:pPr>
      <w:r>
        <w:rPr/>
      </w:r>
    </w:p>
    <w:p>
      <w:pPr>
        <w:pStyle w:val="TextBodynoindent"/>
        <w:rPr/>
      </w:pPr>
      <w:r>
        <w:rPr/>
      </w:r>
    </w:p>
    <w:p>
      <w:pPr>
        <w:pStyle w:val="TextBodynoindent"/>
        <w:jc w:val="center"/>
        <w:rPr/>
      </w:pPr>
      <w:r>
        <w:rPr/>
        <w:t>Рис. 2: Зависимость ошибки от числа нейронов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34353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indent"/>
        <w:rPr/>
      </w:pPr>
      <w:r>
        <w:rPr/>
        <w:t>Для оценки зависимости качества классификации от размера обучающей выборки была проведена кроссвалидация с фиксированным количеством объектов в обучающей выборке (25% исходной выборки) и переменным размером обучающей выборки. Число нейронов было установлено как 364:224:112. При проведении процедуры скользящего контроля для каждого отсчета было произведено пять запусков. График зависимости ошибки классификации от размера обучающей выборки представлен на рис. </w:t>
      </w:r>
      <w:hyperlink w:anchor="x1-30033">
        <w:r>
          <w:rPr>
            <w:rStyle w:val="InternetLink"/>
          </w:rPr>
          <w:t>3</w:t>
        </w:r>
      </w:hyperlink>
      <w:r>
        <w:rPr/>
        <w:t xml:space="preserve">. </w:t>
      </w:r>
    </w:p>
    <w:p>
      <w:pPr>
        <w:pStyle w:val="TextBodynoindent"/>
        <w:spacing w:before="0" w:after="0"/>
        <w:rPr/>
      </w:pPr>
      <w:r>
        <w:rPr/>
        <w:t xml:space="preserve">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278130</wp:posOffset>
            </wp:positionH>
            <wp:positionV relativeFrom="paragraph">
              <wp:posOffset>54610</wp:posOffset>
            </wp:positionV>
            <wp:extent cx="6475095" cy="30962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noindent"/>
        <w:jc w:val="center"/>
        <w:rPr/>
      </w:pPr>
      <w:r>
        <w:rPr/>
        <w:t>Рис. 3: Зависимость ошибки от размера обучающей выборки</w:t>
      </w:r>
    </w:p>
    <w:p>
      <w:pPr>
        <w:pStyle w:val="TextBodyindent"/>
        <w:rPr/>
      </w:pPr>
      <w:r>
        <w:rPr/>
        <w:t xml:space="preserve">Для исследования скорости работы процесса обучения нейросети в зависимости от конфигурации Theano был сделан следующий эксперимент: проводилось обучение двухслойной нейросети на основе подсчитанных заранее параметров ограниченной машины Больцмана и автокодировщика. Обучение проходило за 100 итераций. При обучении алгоритм запускался параллельно с </w:t>
      </w:r>
      <w:r>
        <w:rPr>
          <w:i/>
        </w:rPr>
        <w:t xml:space="preserve">n </w:t>
      </w:r>
      <w:r>
        <w:rPr/>
        <w:t xml:space="preserve">разными стартовыми позициями, </w:t>
      </w:r>
      <w:r>
        <w:rPr>
          <w:i/>
        </w:rPr>
        <w:t xml:space="preserve">n </w:t>
      </w:r>
      <w:r>
        <w:rPr/>
        <w:t>∈{1</w:t>
      </w:r>
      <w:r>
        <w:rPr>
          <w:i/>
        </w:rPr>
        <w:t>,</w:t>
      </w:r>
      <w:r>
        <w:rPr/>
        <w:t>…</w:t>
      </w:r>
      <w:r>
        <w:rPr>
          <w:i/>
        </w:rPr>
        <w:t xml:space="preserve">, </w:t>
      </w:r>
      <w:r>
        <w:rPr/>
        <w:t>4}</w:t>
      </w:r>
      <w:r>
        <w:rPr>
          <w:i/>
        </w:rPr>
        <w:t xml:space="preserve">. </w:t>
      </w:r>
      <w:r>
        <w:rPr/>
        <w:t xml:space="preserve">Число нейронов было установлено как 300:200:100. Запуск осуществлялся со следующими конфигурациями Theano: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вычисление на центральном процессоре, задействовано одно ядро;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вычисление на центральном процессоре, задействовано четыре ядра;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вычисление на центральном процессоре, задействовано восемь ядер;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>вычисление на графическом процессоре.</w:t>
      </w:r>
    </w:p>
    <w:p>
      <w:pPr>
        <w:pStyle w:val="TextBodyindent"/>
        <w:rPr/>
      </w:pPr>
      <w:r>
        <w:rPr/>
        <w:t>Результаты эксперимента приведены на рис. </w:t>
      </w:r>
      <w:hyperlink w:anchor="x1-30044">
        <w:r>
          <w:rPr>
            <w:rStyle w:val="InternetLink"/>
          </w:rPr>
          <w:t>4</w:t>
        </w:r>
      </w:hyperlink>
      <w:r>
        <w:rPr/>
        <w:t xml:space="preserve">. Как видно из графика, вычисление с использованием CUDA показывает значительное ускорение по сравнению с вычислением на центральном процессоре. Детальное описание структуры нейросети можно найти в статье </w:t>
      </w:r>
      <w:r>
        <w:rPr>
          <w:i/>
        </w:rPr>
        <w:t xml:space="preserve">Бахтеев О. Ю., Попова М.С., Стрижов В.В. </w:t>
      </w:r>
      <w:r>
        <w:rPr/>
        <w:t xml:space="preserve">Системы и средства глубокого обучения в задачах классификации // Системы и средства информатики. — 2016. — № 2. </w:t>
      </w:r>
    </w:p>
    <w:p>
      <w:pPr>
        <w:pStyle w:val="TextBodynoindent"/>
        <w:spacing w:before="0" w:after="0"/>
        <w:rPr/>
      </w:pPr>
      <w:r>
        <w:rPr/>
        <w:t xml:space="preserve"> </w:t>
      </w:r>
    </w:p>
    <w:p>
      <w:pPr>
        <w:pStyle w:val="TextBodynoindent"/>
        <w:spacing w:before="0" w:after="283"/>
        <w:jc w:val="center"/>
        <w:rPr/>
      </w:pPr>
      <w:r>
        <w:rPr/>
        <w:t>Рис. 4: Результаты эксперимента по исследованию скорости процесса обучения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48888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8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 w:eastAsia="Droid Sans Fallback" w:cs="FreeSans"/>
      <w:sz w:val="28"/>
      <w:szCs w:val="26"/>
    </w:rPr>
  </w:style>
  <w:style w:type="paragraph" w:styleId="TextBody">
    <w:name w:val="Text Body"/>
    <w:basedOn w:val="Normal"/>
    <w:pPr>
      <w:spacing w:lineRule="auto" w:line="288"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noindent">
    <w:name w:val="Text Body.noindent"/>
    <w:basedOn w:val="TextBody"/>
    <w:pPr/>
    <w:rPr/>
  </w:style>
  <w:style w:type="paragraph" w:styleId="TableContentsnoindent">
    <w:name w:val="Table Contents.noindent"/>
    <w:basedOn w:val="TableContents"/>
    <w:pPr/>
    <w:rPr/>
  </w:style>
  <w:style w:type="paragraph" w:styleId="TextBodynopar">
    <w:name w:val="Text Body.nopar"/>
    <w:basedOn w:val="TextBody"/>
    <w:pPr/>
    <w:rPr/>
  </w:style>
  <w:style w:type="paragraph" w:styleId="TextBodyindent">
    <w:name w:val="Text Body.indent"/>
    <w:basedOn w:val="TextBody"/>
    <w:pPr/>
    <w:rPr/>
  </w:style>
  <w:style w:type="paragraph" w:styleId="Heading1partHead">
    <w:name w:val="Heading 1.partHead"/>
    <w:basedOn w:val="Heading1"/>
    <w:pPr>
      <w:jc w:val="center"/>
    </w:pPr>
    <w:rPr/>
  </w:style>
  <w:style w:type="paragraph" w:styleId="TextBodybibitem">
    <w:name w:val="Text Body.bibitem"/>
    <w:basedOn w:val="TextBody"/>
    <w:pPr/>
    <w:rPr/>
  </w:style>
  <w:style w:type="paragraph" w:styleId="TextBodybibitemp">
    <w:name w:val="Text Body.bibitem-p"/>
    <w:basedOn w:val="TextBody"/>
    <w:pPr/>
    <w:rPr/>
  </w:style>
  <w:style w:type="paragraph" w:styleId="Heading2titleHead">
    <w:name w:val="Heading 2.titleHead"/>
    <w:basedOn w:val="Heading2"/>
    <w:pPr>
      <w:ind w:left="0" w:right="0" w:hanging="0"/>
      <w:jc w:val="center"/>
    </w:pPr>
    <w:rPr/>
  </w:style>
  <w:style w:type="paragraph" w:styleId="ListContents">
    <w:name w:val="List Contents"/>
    <w:basedOn w:val="Normal"/>
    <w:pPr>
      <w:ind w:left="567" w:right="0" w:hanging="0"/>
    </w:pPr>
    <w:rPr/>
  </w:style>
  <w:style w:type="paragraph" w:styleId="ListContentsenumerate">
    <w:name w:val="List Contents.enumerate"/>
    <w:basedOn w:val="ListContents"/>
    <w:pPr/>
    <w:rPr/>
  </w:style>
  <w:style w:type="paragraph" w:styleId="ListHeading">
    <w:name w:val="List Heading"/>
    <w:basedOn w:val="Normal"/>
    <w:pPr>
      <w:ind w:left="0" w:right="0" w:hanging="0"/>
    </w:pPr>
    <w:rPr/>
  </w:style>
  <w:style w:type="paragraph" w:styleId="ListHeadingenumerate">
    <w:name w:val="List Heading.enumerate"/>
    <w:basedOn w:val="ListHeading"/>
    <w:pPr>
      <w:jc w:val="right"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3.png"/><Relationship Id="rId3" Type="http://schemas.openxmlformats.org/officeDocument/2006/relationships/image" Target="media/image54.png"/><Relationship Id="rId4" Type="http://schemas.openxmlformats.org/officeDocument/2006/relationships/image" Target="media/image55.png"/><Relationship Id="rId5" Type="http://schemas.openxmlformats.org/officeDocument/2006/relationships/image" Target="media/image56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  <dc:title>Глубокое обучение в задачах классификации временных рядов</dc:title>
</cp:coreProperties>
</file>