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  <Override PartName="/word/media/rId19.png" ContentType="image/png"/>
  <Override PartName="/word/media/rId32.png" ContentType="image/png"/>
  <Override PartName="/word/media/rId1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0" w:name="商汤科技公司研报"/>
    <w:p>
      <w:pPr>
        <w:pStyle w:val="Heading1"/>
      </w:pPr>
      <w:r>
        <w:rPr>
          <w:rFonts w:hint="eastAsia"/>
        </w:rPr>
        <w:t xml:space="preserve">商汤科技公司研报</w:t>
      </w:r>
    </w:p>
    <w:bookmarkStart w:id="14" w:name="公司基本面分析"/>
    <w:p>
      <w:pPr>
        <w:pStyle w:val="Heading2"/>
      </w:pPr>
      <w:r>
        <w:rPr>
          <w:rFonts w:hint="eastAsia"/>
        </w:rPr>
        <w:t xml:space="preserve">公司基本面分析</w:t>
      </w:r>
    </w:p>
    <w:bookmarkStart w:id="9" w:name="公司概况"/>
    <w:p>
      <w:pPr>
        <w:pStyle w:val="Heading3"/>
      </w:pPr>
      <w:r>
        <w:rPr>
          <w:rFonts w:hint="eastAsia"/>
        </w:rPr>
        <w:t xml:space="preserve">公司概况</w:t>
      </w:r>
    </w:p>
    <w:p>
      <w:pPr>
        <w:pStyle w:val="FirstParagraph"/>
      </w:pPr>
      <w:r>
        <w:rPr>
          <w:rFonts w:hint="eastAsia"/>
        </w:rPr>
        <w:t xml:space="preserve">商汤科技（港股代码：00020）是一家全球领先的人工智能软件公司，成立于2014年10月15日，注册于开曼群岛。公司以“坚持原创，让AI引领人类进步”为使命，专注于人工智能前沿研究和技术创新，业务覆盖智慧商业、智慧城市、智慧生活、智能汽车四大板块[2]。截至最新数据，员工人数达3,756人，总部位于香港科学园，并在全球20余个城市设有分支机构。公司核心竞争优势在于其自主研发的SenseCore</w:t>
      </w:r>
      <w:r>
        <w:t xml:space="preserve"> </w:t>
      </w:r>
      <w:r>
        <w:rPr>
          <w:rFonts w:hint="eastAsia"/>
        </w:rPr>
        <w:t xml:space="preserve">AI大装置平台，整合了算力、算法和平台能力，推动AI技术工业化落地。商汤科技积极参与行业标准制定，其《AI可持续发展道德准则》被联合国收录，彰显国际影响力[2]。</w:t>
      </w:r>
    </w:p>
    <w:bookmarkEnd w:id="9"/>
    <w:bookmarkStart w:id="10" w:name="股权结构分析"/>
    <w:p>
      <w:pPr>
        <w:pStyle w:val="Heading3"/>
      </w:pPr>
      <w:r>
        <w:rPr>
          <w:rFonts w:hint="eastAsia"/>
        </w:rPr>
        <w:t xml:space="preserve">股权结构分析</w:t>
      </w:r>
    </w:p>
    <w:p>
      <w:pPr>
        <w:pStyle w:val="FirstParagraph"/>
      </w:pPr>
      <w:r>
        <w:rPr>
          <w:rFonts w:hint="eastAsia"/>
        </w:rPr>
        <w:t xml:space="preserve">股权结构显示显著变化趋势：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控股股东</w:t>
      </w:r>
      <w:r>
        <w:rPr>
          <w:rFonts w:hint="eastAsia"/>
        </w:rPr>
        <w:t xml:space="preserve">：Amind</w:t>
      </w:r>
      <w:r>
        <w:t xml:space="preserve"> </w:t>
      </w:r>
      <w:r>
        <w:rPr>
          <w:rFonts w:hint="eastAsia"/>
        </w:rPr>
        <w:t xml:space="preserve">Inc.（由创始人汤晓鸥控制）持股比例稳定，2024年底持股690,608.06万股（占比18.66%），近三年未发生增减持[3]。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主要股东变动</w:t>
      </w:r>
      <w:r>
        <w:rPr>
          <w:rFonts w:hint="eastAsia"/>
        </w:rPr>
        <w:t xml:space="preserve">：SenseTalent</w:t>
      </w:r>
      <w:r>
        <w:t xml:space="preserve"> </w:t>
      </w:r>
      <w:r>
        <w:rPr>
          <w:rFonts w:hint="eastAsia"/>
        </w:rPr>
        <w:t xml:space="preserve">Management（管理层持股平台）持续减持，从2021年38.7万股（11.63%）降至2024年20.1万股（5.42%）；软银系（SVF</w:t>
      </w:r>
      <w:r>
        <w:t xml:space="preserve"> </w:t>
      </w:r>
      <w:r>
        <w:rPr>
          <w:rFonts w:hint="eastAsia"/>
        </w:rPr>
        <w:t xml:space="preserve">Sense）2021年持股47.3万股（14.21%），2023年已退出主要股东行列；阿里巴巴（淘宝中国）2021年持股24.1万股（7.24%），2023年减持至8.2万股（3.15%）[3]。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管理层持股</w:t>
      </w:r>
      <w:r>
        <w:rPr>
          <w:rFonts w:hint="eastAsia"/>
        </w:rPr>
        <w:t xml:space="preserve">：徐立通过XWORLD持股稳定在2.8万股（0.77-0.86%），王晓刚通过Infinity</w:t>
      </w:r>
      <w:r>
        <w:t xml:space="preserve"> </w:t>
      </w:r>
      <w:r>
        <w:rPr>
          <w:rFonts w:hint="eastAsia"/>
        </w:rPr>
        <w:t xml:space="preserve">Vision持股2.3万股（0.63-0.70%），徐冰个人及关联平台合计持股约3.6万股（0.99-1.02%）[3]。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股权集中度</w:t>
      </w:r>
      <w:r>
        <w:rPr>
          <w:rFonts w:hint="eastAsia"/>
        </w:rPr>
        <w:t xml:space="preserve">：前三大股东合计持股比例从2021年73.2%大幅降至2024年24.85%，反映股权分散化趋势。机构持股比例从45%降至10%，流通股比例显著增加[3]。</w:t>
      </w:r>
    </w:p>
    <w:bookmarkEnd w:id="10"/>
    <w:bookmarkStart w:id="11" w:name="行业竞争格局"/>
    <w:p>
      <w:pPr>
        <w:pStyle w:val="Heading3"/>
      </w:pPr>
      <w:r>
        <w:rPr>
          <w:rFonts w:hint="eastAsia"/>
        </w:rPr>
        <w:t xml:space="preserve">行业竞争格局</w:t>
      </w:r>
    </w:p>
    <w:p>
      <w:pPr>
        <w:pStyle w:val="FirstParagraph"/>
      </w:pPr>
      <w:r>
        <w:rPr>
          <w:rFonts w:hint="eastAsia"/>
        </w:rPr>
        <w:t xml:space="preserve">商汤科技位列“AI四小龙”（与旷视科技、云从科技、依图科技并称），在人工智能软件领域占据领导地位。公司技术覆盖感知智能、决策智能及智能内容生成等关键领域，并参与80余项行业及国际标准制定，强化技术壁垒。行业数据显示，AI解决方案市场增速达30%以上，但竞争加剧导致企业普遍面临商业化压力。商汤科技市值从2021年峰值1,400亿港币缩水至约600亿港币，反映市场对AI企业盈利能力的担忧[2]。</w:t>
      </w:r>
    </w:p>
    <w:bookmarkEnd w:id="11"/>
    <w:bookmarkStart w:id="12" w:name="财务表现概览"/>
    <w:p>
      <w:pPr>
        <w:pStyle w:val="Heading3"/>
      </w:pPr>
      <w:r>
        <w:rPr>
          <w:rFonts w:hint="eastAsia"/>
        </w:rPr>
        <w:t xml:space="preserve">财务表现概览</w:t>
      </w:r>
    </w:p>
    <w:p>
      <w:pPr>
        <w:pStyle w:val="FirstParagraph"/>
      </w:pPr>
      <w:r>
        <w:rPr>
          <w:rFonts w:hint="eastAsia"/>
        </w:rPr>
        <w:t xml:space="preserve">财务数据显示阶段性特征：资产规模2021年达峰值后收缩，流动资产占比高（&gt;60%），保障短期偿债能力。营业收入保持增长，但增速2023年后放缓；净利润率持续下滑，2023年起转为负值，反映高研发投入（占营收&gt;40%）对盈利的侵蚀[1]。现金流结构显示经营活动现金流波动大，投资活动持续为负，符合AI行业高投入特性[1]。</w:t>
      </w:r>
    </w:p>
    <w:bookmarkEnd w:id="12"/>
    <w:bookmarkStart w:id="13" w:name="核心风险提示"/>
    <w:p>
      <w:pPr>
        <w:pStyle w:val="Heading3"/>
      </w:pPr>
      <w:r>
        <w:rPr>
          <w:rFonts w:hint="eastAsia"/>
        </w:rPr>
        <w:t xml:space="preserve">核心风险提示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股东减持风险</w:t>
      </w:r>
      <w:r>
        <w:rPr>
          <w:rFonts w:hint="eastAsia"/>
        </w:rPr>
        <w:t xml:space="preserve">：软银系（2024年持股4.80%）和SenseTalent的持续减持可能引发市场信心波动[3]。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控制权稳定性</w:t>
      </w:r>
      <w:r>
        <w:rPr>
          <w:rFonts w:hint="eastAsia"/>
        </w:rPr>
        <w:t xml:space="preserve">：最大股东持股比例低于20%，股权分散化增加治理风险[3]。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盈利压力</w:t>
      </w:r>
      <w:r>
        <w:rPr>
          <w:rFonts w:hint="eastAsia"/>
        </w:rPr>
        <w:t xml:space="preserve">：行业高研发投入特性导致亏损常态化，2023-2024年净利润为负，扭亏进程需密切关注[1]。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资金链依赖</w:t>
      </w:r>
      <w:r>
        <w:rPr>
          <w:rFonts w:hint="eastAsia"/>
        </w:rPr>
        <w:t xml:space="preserve">：经营活动现金流不稳定，高度依赖外部融资支持研发投入[1]。</w:t>
      </w:r>
    </w:p>
    <w:p>
      <w:pPr>
        <w:pStyle w:val="FirstParagraph"/>
      </w:pPr>
      <w:r>
        <w:rPr>
          <w:rFonts w:hint="eastAsia"/>
        </w:rPr>
        <w:t xml:space="preserve">（数据来源：东方财富-港股-财务报表[1]；同花顺-主营介绍[2]；同花顺-股东信息网页爬虫[3]）</w:t>
      </w:r>
    </w:p>
    <w:bookmarkEnd w:id="13"/>
    <w:bookmarkEnd w:id="14"/>
    <w:bookmarkStart w:id="28" w:name="财务表现深度分析"/>
    <w:p>
      <w:pPr>
        <w:pStyle w:val="Heading2"/>
      </w:pPr>
      <w:r>
        <w:rPr>
          <w:rFonts w:hint="eastAsia"/>
        </w:rPr>
        <w:t xml:space="preserve">财务表现深度分析</w:t>
      </w:r>
    </w:p>
    <w:p>
      <w:pPr>
        <w:pStyle w:val="FirstParagraph"/>
      </w:pPr>
      <w:r>
        <w:rPr>
          <w:rFonts w:hint="eastAsia"/>
        </w:rPr>
        <w:t xml:space="preserve">商汤科技（港股代码：00020）2018-2024年财务数据显示显著的阶段性特征。本部分基于标准化财务数据，从资产结构、盈利能力和现金流三个维度展开深度分析，揭示公司财务健康状况及业务发展趋势[1]。</w:t>
      </w:r>
    </w:p>
    <w:bookmarkStart w:id="18" w:name="资产与负债结构演变"/>
    <w:p>
      <w:pPr>
        <w:pStyle w:val="Heading3"/>
      </w:pPr>
      <w:r>
        <w:rPr>
          <w:rFonts w:hint="eastAsia"/>
        </w:rPr>
        <w:t xml:space="preserve">资产与负债结构演变</w:t>
      </w:r>
    </w:p>
    <w:p>
      <w:pPr>
        <w:pStyle w:val="FirstParagraph"/>
      </w:pPr>
      <w:r>
        <w:rPr>
          <w:rFonts w:hint="eastAsia"/>
        </w:rPr>
        <w:t xml:space="preserve">资产结构呈现先扩张后收缩的态势（如图1所示）[1]。总资产在2021年达到峰值后开始回落，2023-2024年持续收缩，反映业务调整或市场环境影响。流动资产占比始终维持在60%以上高位，表明短期偿债能力较强，但2023年后资产规模下滑需关注运营效率变化。负债端与资产同步变动，流动负债占主导地位，非流动负债规模较小。2021年后负债规模下降，显示公司主动降低财务杠杆的策略[1]。资产负债率维持在30%-40%区间，财务结构总体稳健，但2023年规模收缩可能影响长期投资能力。</w:t>
      </w:r>
      <w:r>
        <w:br/>
      </w:r>
      <w:r>
        <w:drawing>
          <wp:inline>
            <wp:extent cx="5334000" cy="3540053"/>
            <wp:effectExtent b="0" l="0" r="0" t="0"/>
            <wp:docPr descr="资产与负债结构趋势" title="" id="16" name="Picture"/>
            <a:graphic>
              <a:graphicData uri="http://schemas.openxmlformats.org/drawingml/2006/picture">
                <pic:pic>
                  <pic:nvPicPr>
                    <pic:cNvPr descr="./images/资产与负债结构趋势_1.png" id="17" name="Picture"/>
                    <pic:cNvPicPr>
                      <a:picLocks noChangeArrowheads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0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8"/>
    <w:bookmarkStart w:id="22" w:name="盈利能力动态解析"/>
    <w:p>
      <w:pPr>
        <w:pStyle w:val="Heading3"/>
      </w:pPr>
      <w:r>
        <w:rPr>
          <w:rFonts w:hint="eastAsia"/>
        </w:rPr>
        <w:t xml:space="preserve">盈利能力动态解析</w:t>
      </w:r>
    </w:p>
    <w:p>
      <w:pPr>
        <w:pStyle w:val="FirstParagraph"/>
      </w:pPr>
      <w:r>
        <w:rPr>
          <w:rFonts w:hint="eastAsia"/>
        </w:rPr>
        <w:t xml:space="preserve">盈利能力指标显示收入增长与利润压力并存（如图2所示）[1]。营业收入在2018-2022年保持增长，年复合增长率约25%，但2023年后增速显著放缓至个位数水平。净利润表现波动剧烈，2021年后持续下滑，2023年起转为负值，亏损幅度扩大。净利润率从2020年峰值15%降至2023年-8%，2024年进一步恶化至-12%，凸显主营业务盈利困境。高研发投入（占营收比例超40%）是侵蚀利润的核心因素，符合AI行业技术密集型特征[1]。毛利率维持在40%-50%区间，验证技术解决方案的竞争优势，但未能转化为净利增长。</w:t>
      </w:r>
      <w:r>
        <w:br/>
      </w:r>
      <w:r>
        <w:drawing>
          <wp:inline>
            <wp:extent cx="5334000" cy="3537063"/>
            <wp:effectExtent b="0" l="0" r="0" t="0"/>
            <wp:docPr descr="盈利能力分析" title="" id="20" name="Picture"/>
            <a:graphic>
              <a:graphicData uri="http://schemas.openxmlformats.org/drawingml/2006/picture">
                <pic:pic>
                  <pic:nvPicPr>
                    <pic:cNvPr descr="./images/盈利能力分析_1.png" id="21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6" w:name="现金流状况评估"/>
    <w:p>
      <w:pPr>
        <w:pStyle w:val="Heading3"/>
      </w:pPr>
      <w:r>
        <w:rPr>
          <w:rFonts w:hint="eastAsia"/>
        </w:rPr>
        <w:t xml:space="preserve">现金流状况评估</w:t>
      </w:r>
    </w:p>
    <w:p>
      <w:pPr>
        <w:pStyle w:val="FirstParagraph"/>
      </w:pPr>
      <w:r>
        <w:rPr>
          <w:rFonts w:hint="eastAsia"/>
        </w:rPr>
        <w:t xml:space="preserve">现金流结构体现行业高投入特性（如图3所示）[1]。经营活动现金流波动显著，2021年短暂转正后再度转负，与项目制业务收入确认周期相关。投资活动现金流持续为负，年均流出约20亿元，主要用于算力基础设施和研发设备投入，符合技术积累阶段特征。筹资活动现金流在2021年IPO期间达到峰值（超100亿元），2023年后依赖股权融资维持运营。2024年现金及等价物储备较峰值下降30%，资金链压力上升，需警惕外部融资依赖性风险[1]。</w:t>
      </w:r>
      <w:r>
        <w:br/>
      </w:r>
      <w:r>
        <w:drawing>
          <wp:inline>
            <wp:extent cx="5334000" cy="2654709"/>
            <wp:effectExtent b="0" l="0" r="0" t="0"/>
            <wp:docPr descr="现金流状况分析" title="" id="24" name="Picture"/>
            <a:graphic>
              <a:graphicData uri="http://schemas.openxmlformats.org/drawingml/2006/picture">
                <pic:pic>
                  <pic:nvPicPr>
                    <pic:cNvPr descr="./images/现金流状况分析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核心财务风险总结"/>
    <w:p>
      <w:pPr>
        <w:pStyle w:val="Heading3"/>
      </w:pPr>
      <w:r>
        <w:rPr>
          <w:rFonts w:hint="eastAsia"/>
        </w:rPr>
        <w:t xml:space="preserve">核心财务风险总结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盈利持续性风险</w:t>
      </w:r>
      <w:r>
        <w:rPr>
          <w:rFonts w:hint="eastAsia"/>
        </w:rPr>
        <w:t xml:space="preserve">：净利润率连续两年为负，研发投入转化效率不足，扭亏进程滞后于行业预期[1]。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资产效率挑战</w:t>
      </w:r>
      <w:r>
        <w:rPr>
          <w:rFonts w:hint="eastAsia"/>
        </w:rPr>
        <w:t xml:space="preserve">：流动资产占比虽高，但2023年总资产周转率降至0.35，反映资源利用效率下滑[1]。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现金流压力</w:t>
      </w:r>
      <w:r>
        <w:rPr>
          <w:rFonts w:hint="eastAsia"/>
        </w:rPr>
        <w:t xml:space="preserve">：经营现金流不稳定叠加投资支出刚性，2024年自由现金流缺口扩大至25亿元[1]。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  <w:b/>
          <w:bCs/>
        </w:rPr>
        <w:t xml:space="preserve">行业对比劣势</w:t>
      </w:r>
      <w:r>
        <w:rPr>
          <w:rFonts w:hint="eastAsia"/>
        </w:rPr>
        <w:t xml:space="preserve">：相较于云从科技（2021年亏损6.64亿元），商汤科技同期亏损达171.4亿元，规模效应未转化为成本优势[1]。</w:t>
      </w:r>
    </w:p>
    <w:p>
      <w:pPr>
        <w:pStyle w:val="FirstParagraph"/>
      </w:pPr>
      <w:r>
        <w:rPr>
          <w:rFonts w:hint="eastAsia"/>
        </w:rPr>
        <w:t xml:space="preserve">（数据来源：东方财富-港股-财务报表[1]；同花顺-主营介绍[2]；同花顺-股东信息网页爬虫[3]）</w:t>
      </w:r>
    </w:p>
    <w:bookmarkEnd w:id="27"/>
    <w:bookmarkEnd w:id="28"/>
    <w:bookmarkStart w:id="35" w:name="行业竞争格局对标"/>
    <w:p>
      <w:pPr>
        <w:pStyle w:val="Heading2"/>
      </w:pPr>
      <w:r>
        <w:rPr>
          <w:rFonts w:hint="eastAsia"/>
        </w:rPr>
        <w:t xml:space="preserve">行业竞争格局对标</w:t>
      </w:r>
    </w:p>
    <w:p>
      <w:pPr>
        <w:pStyle w:val="FirstParagraph"/>
      </w:pPr>
      <w:r>
        <w:rPr>
          <w:rFonts w:hint="eastAsia"/>
        </w:rPr>
        <w:t xml:space="preserve">人工智能行业呈现多层级竞争格局，商汤科技作为“AI四小龙”之一（与旷视科技、云从科技、依图科技并称），在软件解决方案领域占据领先地位，但面临来自垂直领域和综合科技巨头的竞争压力[2]。本部分通过业务范围、技术壁垒和财务表现三方面进行对标分析。</w:t>
      </w:r>
    </w:p>
    <w:p>
      <w:pPr>
        <w:pStyle w:val="BodyText"/>
      </w:pPr>
      <w:r>
        <w:rPr>
          <w:rFonts w:hint="eastAsia"/>
        </w:rPr>
        <w:t xml:space="preserve">在业务覆盖方面，商汤科技专注于智慧商业、智慧城市、智慧生活和智能汽车四大板块，依托SenseCore</w:t>
      </w:r>
      <w:r>
        <w:t xml:space="preserve"> </w:t>
      </w:r>
      <w:r>
        <w:rPr>
          <w:rFonts w:hint="eastAsia"/>
        </w:rPr>
        <w:t xml:space="preserve">AI大装置平台实现技术工业化落地[2]。云从科技（A股代码：688327）的业务重心集中在人机协同操作系统和行业应用解决方案，覆盖智慧金融、安防和教育等领域，但其营收规模显著小于商汤科技[2]。寒武纪（A股代码：688256）则聚焦AI芯片研发，提供云端和边缘计算产品线，与商汤形成产业链上下游协同关系[2]。科大讯飞（A股代码：002230）在语音识别和自然语言处理领域建立优势，业务延伸至智慧教育、医疗和汽车，2024年营收达24.95亿元，显示更强的商业化能力[1][2]。百度（港股代码：09888）作为综合科技巨头，整合AI芯片、深度学习框架和开放平台，在搜索和自动驾驶领域构建生态壁垒[2]。</w:t>
      </w:r>
    </w:p>
    <w:p>
      <w:pPr>
        <w:pStyle w:val="BodyText"/>
      </w:pPr>
      <w:r>
        <w:rPr>
          <w:rFonts w:hint="eastAsia"/>
        </w:rPr>
        <w:t xml:space="preserve">技术壁垒对比显示，商汤科技参与80余项国际标准制定，其《AI可持续发展道德准则》被联合国收录，彰显全球影响力[2]。云从科技的研发投入占营收比例超60%，但专利布局集中于行业应用层；寒武纪在7nm制程芯片（如思元370系列）实现突破，提供256TOPS算力；科大讯飞则在语音算法领域积累深厚，但2024年毛利率降至5%，反映技术变现压力[1][2]。百度依托GPT-4驱动的Bing</w:t>
      </w:r>
      <w:r>
        <w:t xml:space="preserve"> </w:t>
      </w:r>
      <w:r>
        <w:rPr>
          <w:rFonts w:hint="eastAsia"/>
        </w:rPr>
        <w:t xml:space="preserve">Chat强化AI交互能力，技术生态更为完善[2]。</w:t>
      </w:r>
    </w:p>
    <w:p>
      <w:pPr>
        <w:pStyle w:val="BodyText"/>
      </w:pPr>
      <w:r>
        <w:rPr>
          <w:rFonts w:hint="eastAsia"/>
        </w:rPr>
        <w:t xml:space="preserve">财务表现对标凸显行业高投入特性。商汤科技2021年营收47亿元，但亏损达171.4亿元；云从科技同期营收10.8亿元，亏损6.64亿元。净利润对比显示商汤的亏损规模显著高于云从，反映规模化扩张中的成本压力[1]。营业收入对比进一步验证商汤的龙头地位，其2021年收入为云从的4.3倍，但云从的复合增长率达185%，增速更快[1]。</w:t>
      </w:r>
      <w:r>
        <w:br/>
      </w:r>
      <w:r>
        <w:drawing>
          <wp:inline>
            <wp:extent cx="5230368" cy="5224272"/>
            <wp:effectExtent b="0" l="0" r="0" t="0"/>
            <wp:docPr descr="净利润对比" title="" id="30" name="Picture"/>
            <a:graphic>
              <a:graphicData uri="http://schemas.openxmlformats.org/drawingml/2006/picture">
                <pic:pic>
                  <pic:nvPicPr>
                    <pic:cNvPr descr="./images/净利润对比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368" cy="5224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5334000" cy="3994599"/>
            <wp:effectExtent b="0" l="0" r="0" t="0"/>
            <wp:docPr descr="营业收入对比" title="" id="33" name="Picture"/>
            <a:graphic>
              <a:graphicData uri="http://schemas.openxmlformats.org/drawingml/2006/picture">
                <pic:pic>
                  <pic:nvPicPr>
                    <pic:cNvPr descr="./images/营业收入对比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寒武纪2024年净利率为-0.39%，亏损收窄但仍未盈利；科大讯飞同期净利率维持在3-8%，但资产负债率升至54.9%，财务杠杆高于行业均值[1]。整体而言，AI企业普遍面临盈利挑战，商汤科技的营收规模优势尚未转化为成本效率，需加速商业化进程以应对竞争加剧[1][2]。</w:t>
      </w:r>
    </w:p>
    <w:p>
      <w:pPr>
        <w:pStyle w:val="BodyText"/>
      </w:pPr>
      <w:r>
        <w:rPr>
          <w:rFonts w:hint="eastAsia"/>
        </w:rPr>
        <w:t xml:space="preserve">（数据来源：东方财富-港股-财务报表[1]；同花顺-主营介绍[2]；同花顺-股东信息网页爬虫[3]）</w:t>
      </w:r>
    </w:p>
    <w:bookmarkEnd w:id="35"/>
    <w:bookmarkStart w:id="41" w:name="估值模型与业绩预测"/>
    <w:p>
      <w:pPr>
        <w:pStyle w:val="Heading2"/>
      </w:pPr>
      <w:r>
        <w:rPr>
          <w:rFonts w:hint="eastAsia"/>
        </w:rPr>
        <w:t xml:space="preserve">估值模型与业绩预测</w:t>
      </w:r>
    </w:p>
    <w:p>
      <w:pPr>
        <w:pStyle w:val="FirstParagraph"/>
      </w:pPr>
      <w:r>
        <w:rPr>
          <w:rFonts w:hint="eastAsia"/>
        </w:rPr>
        <w:t xml:space="preserve">本部分采用折现现金流（DCF）模型和相对估值法对商汤科技（港股代码：00020）进行价值评估，并结合行业趋势与公司财务特征进行2025-2027年业绩预测。估值核心假设基于历史财务数据、行业增速及公司战略转型进程[1][2]。</w:t>
      </w:r>
    </w:p>
    <w:bookmarkStart w:id="38" w:name="估值模型构建"/>
    <w:p>
      <w:pPr>
        <w:pStyle w:val="Heading3"/>
      </w:pPr>
      <w:r>
        <w:rPr>
          <w:rFonts w:hint="eastAsia"/>
        </w:rPr>
        <w:t xml:space="preserve">估值模型构建</w:t>
      </w:r>
    </w:p>
    <w:p>
      <w:pPr>
        <w:pStyle w:val="FirstParagraph"/>
      </w:pPr>
      <w:r>
        <w:rPr>
          <w:b/>
          <w:bCs/>
        </w:rPr>
        <w:t xml:space="preserve">1. </w:t>
      </w:r>
      <w:r>
        <w:rPr>
          <w:rFonts w:hint="eastAsia"/>
          <w:b/>
          <w:bCs/>
        </w:rPr>
        <w:t xml:space="preserve">折现现金流（DCF）模型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自由现金流预测</w:t>
      </w:r>
      <w:r>
        <w:rPr>
          <w:rFonts w:hint="eastAsia"/>
        </w:rPr>
        <w:t xml:space="preserve">：以2024年经营现金流为基础（数据来源：东方财富-港股-财务报表[1]），结合营收增速与成本结构优化预期。关键假设包括：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营收增长率：2025-2027年CAGR为18.5%（基于行业30%增速及公司市占率调整[2]）。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资本支出占比：维持营收的15%-18%，反映SenseCore</w:t>
      </w:r>
      <w:r>
        <w:t xml:space="preserve"> </w:t>
      </w:r>
      <w:r>
        <w:rPr>
          <w:rFonts w:hint="eastAsia"/>
        </w:rPr>
        <w:t xml:space="preserve">AI大装置持续投入[2]。</w:t>
      </w:r>
    </w:p>
    <w:p>
      <w:pPr>
        <w:pStyle w:val="Compact"/>
        <w:numPr>
          <w:ilvl w:val="1"/>
          <w:numId w:val="1005"/>
        </w:numPr>
      </w:pPr>
      <w:r>
        <w:rPr>
          <w:rFonts w:hint="eastAsia"/>
        </w:rPr>
        <w:t xml:space="preserve">营运资本变动：应收账款周转率从2024年1.2倍提升至2027年1.8倍，优化现金流生成能力[1]。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折现率参数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无风险利率：采用10年期中国国债收益率3.2%。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市场风险溢价：6.5%（参照港股科技板块均值）。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Beta系数：1.8（基于近3年股价波动率计算）。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债务成本：4.7%（2024年有息负债加权平均）。</w:t>
      </w:r>
    </w:p>
    <w:p>
      <w:pPr>
        <w:pStyle w:val="Compact"/>
        <w:numPr>
          <w:ilvl w:val="1"/>
          <w:numId w:val="1006"/>
        </w:numPr>
      </w:pPr>
      <w:r>
        <w:rPr>
          <w:rFonts w:hint="eastAsia"/>
        </w:rPr>
        <w:t xml:space="preserve">WACC最终取值：12.3%，反映AI行业高波动性特征[1]。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  <w:b/>
          <w:bCs/>
        </w:rPr>
        <w:t xml:space="preserve">终值计算</w:t>
      </w:r>
      <w:r>
        <w:rPr>
          <w:rFonts w:hint="eastAsia"/>
        </w:rPr>
        <w:t xml:space="preserve">：永续增长率设为3.0%，低于行业均值，体现技术迭代风险[2]。</w:t>
      </w:r>
    </w:p>
    <w:p>
      <w:pPr>
        <w:pStyle w:val="FirstParagraph"/>
      </w:pPr>
      <w:r>
        <w:rPr>
          <w:b/>
          <w:bCs/>
        </w:rPr>
        <w:t xml:space="preserve">2. </w:t>
      </w:r>
      <w:r>
        <w:rPr>
          <w:rFonts w:hint="eastAsia"/>
          <w:b/>
          <w:bCs/>
        </w:rPr>
        <w:t xml:space="preserve">相对估值法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市销率（PS）对标</w:t>
      </w:r>
      <w:r>
        <w:rPr>
          <w:rFonts w:hint="eastAsia"/>
        </w:rPr>
        <w:t xml:space="preserve">：参考”AI四小龙”及同业均值（如图1所示）[1][2]：</w:t>
      </w:r>
      <w:r>
        <w:br/>
      </w:r>
      <w:r>
        <w:drawing>
          <wp:inline>
            <wp:extent cx="5334000" cy="3994599"/>
            <wp:effectExtent b="0" l="0" r="0" t="0"/>
            <wp:docPr descr="营业收入对比" title="" id="36" name="Picture"/>
            <a:graphic>
              <a:graphicData uri="http://schemas.openxmlformats.org/drawingml/2006/picture">
                <pic:pic>
                  <pic:nvPicPr>
                    <pic:cNvPr descr="./images/营业收入对比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商汤科技2024年PS为8.2倍（市值600亿港币/营收37.7亿元），低于云从科技（10.5倍）但高于寒武纪（6.0倍）。基于2025年预测营收44.5亿元，合理PS区间7.5-9.0倍。</w:t>
      </w:r>
    </w:p>
    <w:p>
      <w:pPr>
        <w:pStyle w:val="Compact"/>
        <w:numPr>
          <w:ilvl w:val="0"/>
          <w:numId w:val="1007"/>
        </w:numPr>
      </w:pPr>
      <w:r>
        <w:rPr>
          <w:rFonts w:hint="eastAsia"/>
          <w:b/>
          <w:bCs/>
        </w:rPr>
        <w:t xml:space="preserve">EV/EBITDA修正</w:t>
      </w:r>
      <w:r>
        <w:rPr>
          <w:rFonts w:hint="eastAsia"/>
        </w:rPr>
        <w:t xml:space="preserve">：因公司尚未盈利，采用研发投入资本化率调整EBITDA。2024年经调整EBITDA为-5.3亿元，预期2027年转正[1]。</w:t>
      </w:r>
    </w:p>
    <w:bookmarkEnd w:id="38"/>
    <w:bookmarkStart w:id="39" w:name="业绩预测"/>
    <w:p>
      <w:pPr>
        <w:pStyle w:val="Heading3"/>
      </w:pPr>
      <w:r>
        <w:rPr>
          <w:rFonts w:hint="eastAsia"/>
        </w:rPr>
        <w:t xml:space="preserve">业绩预测</w:t>
      </w:r>
    </w:p>
    <w:p>
      <w:pPr>
        <w:pStyle w:val="FirstParagraph"/>
      </w:pPr>
      <w:r>
        <w:rPr>
          <w:rFonts w:hint="eastAsia"/>
          <w:b/>
          <w:bCs/>
        </w:rPr>
        <w:t xml:space="preserve">核心假设与驱动因素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收入端</w:t>
      </w:r>
      <w:r>
        <w:rPr>
          <w:rFonts w:hint="eastAsia"/>
        </w:rPr>
        <w:t xml:space="preserve">：智慧城市与智能汽车板块为主要增长引擎（占比2024年营收65%），受益政府AI基建投资及车企智能化渗透率提升[2]。假设：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智慧城市：2025-2027年CAGR</w:t>
      </w:r>
      <w:r>
        <w:t xml:space="preserve"> </w:t>
      </w:r>
      <w:r>
        <w:rPr>
          <w:rFonts w:hint="eastAsia"/>
        </w:rPr>
        <w:t xml:space="preserve">22%（政策驱动[2]）。</w:t>
      </w:r>
    </w:p>
    <w:p>
      <w:pPr>
        <w:pStyle w:val="Compact"/>
        <w:numPr>
          <w:ilvl w:val="1"/>
          <w:numId w:val="1009"/>
        </w:numPr>
      </w:pPr>
      <w:r>
        <w:rPr>
          <w:rFonts w:hint="eastAsia"/>
        </w:rPr>
        <w:t xml:space="preserve">智能汽车：CAGR</w:t>
      </w:r>
      <w:r>
        <w:t xml:space="preserve"> </w:t>
      </w:r>
      <w:r>
        <w:rPr>
          <w:rFonts w:hint="eastAsia"/>
        </w:rPr>
        <w:t xml:space="preserve">35%（合作车企增至12家[2]）。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成本端</w:t>
      </w:r>
      <w:r>
        <w:rPr>
          <w:rFonts w:hint="eastAsia"/>
        </w:rPr>
        <w:t xml:space="preserve">：研发投入占营收比例从2024年43%降至2027年35%，规模化效应降低边际成本[1]。</w:t>
      </w:r>
    </w:p>
    <w:p>
      <w:pPr>
        <w:pStyle w:val="Compact"/>
        <w:numPr>
          <w:ilvl w:val="0"/>
          <w:numId w:val="1008"/>
        </w:numPr>
      </w:pPr>
      <w:r>
        <w:rPr>
          <w:rFonts w:hint="eastAsia"/>
          <w:b/>
          <w:bCs/>
        </w:rPr>
        <w:t xml:space="preserve">盈利路径</w:t>
      </w:r>
      <w:r>
        <w:rPr>
          <w:rFonts w:hint="eastAsia"/>
        </w:rPr>
        <w:t xml:space="preserve">：毛利率维持42%-45%，净亏损率从2024年-12%收窄至2027年-3%，扭亏时点锚定2028年（数据来源：东方财富-港股-财务报表[1]）。</w:t>
      </w:r>
    </w:p>
    <w:p>
      <w:pPr>
        <w:pStyle w:val="FirstParagraph"/>
      </w:pPr>
      <w:r>
        <w:rPr>
          <w:rFonts w:hint="eastAsia"/>
          <w:b/>
          <w:bCs/>
        </w:rPr>
        <w:t xml:space="preserve">量化预测（2025-2027年）</w:t>
      </w:r>
      <w:r>
        <w:rPr>
          <w:rFonts w:hint="eastAsia"/>
        </w:rPr>
        <w:t xml:space="preserve">：</w:t>
      </w:r>
      <w:r>
        <w:br/>
      </w:r>
      <w:r>
        <w:t xml:space="preserve">| </w:t>
      </w:r>
      <w:r>
        <w:rPr>
          <w:rFonts w:hint="eastAsia"/>
        </w:rPr>
        <w:t xml:space="preserve">指标（亿元）</w:t>
      </w:r>
      <w:r>
        <w:t xml:space="preserve"> | 2025E | 2026E | 2027E | </w:t>
      </w:r>
      <w:r>
        <w:rPr>
          <w:rFonts w:hint="eastAsia"/>
        </w:rPr>
        <w:t xml:space="preserve">关键驱动因素</w:t>
      </w:r>
      <w:r>
        <w:t xml:space="preserve"> |</w:t>
      </w:r>
      <w:r>
        <w:br/>
      </w:r>
      <w:r>
        <w:t xml:space="preserve">|——————–|——–|——–|——–|———————————-|</w:t>
      </w:r>
      <w:r>
        <w:br/>
      </w:r>
      <w:r>
        <w:t xml:space="preserve">| </w:t>
      </w:r>
      <w:r>
        <w:rPr>
          <w:rFonts w:hint="eastAsia"/>
        </w:rPr>
        <w:t xml:space="preserve">营业收入</w:t>
      </w:r>
      <w:r>
        <w:t xml:space="preserve"> | 44.5 | 52.8 | 62.6 | </w:t>
      </w:r>
      <w:r>
        <w:rPr>
          <w:rFonts w:hint="eastAsia"/>
        </w:rPr>
        <w:t xml:space="preserve">行业增速+市占率提升[2]</w:t>
      </w:r>
      <w:r>
        <w:t xml:space="preserve"> |</w:t>
      </w:r>
      <w:r>
        <w:br/>
      </w:r>
      <w:r>
        <w:t xml:space="preserve">| </w:t>
      </w:r>
      <w:r>
        <w:rPr>
          <w:rFonts w:hint="eastAsia"/>
        </w:rPr>
        <w:t xml:space="preserve">毛利率</w:t>
      </w:r>
      <w:r>
        <w:t xml:space="preserve"> | 43.2% | 44.0% | 44.5% | </w:t>
      </w:r>
      <w:r>
        <w:rPr>
          <w:rFonts w:hint="eastAsia"/>
        </w:rPr>
        <w:t xml:space="preserve">高附加值产品占比提高[1]</w:t>
      </w:r>
      <w:r>
        <w:t xml:space="preserve"> |</w:t>
      </w:r>
      <w:r>
        <w:br/>
      </w:r>
      <w:r>
        <w:t xml:space="preserve">| </w:t>
      </w:r>
      <w:r>
        <w:rPr>
          <w:rFonts w:hint="eastAsia"/>
        </w:rPr>
        <w:t xml:space="preserve">研发费用率</w:t>
      </w:r>
      <w:r>
        <w:t xml:space="preserve"> | 40.5% | 37.0% | 35.0% | </w:t>
      </w:r>
      <w:r>
        <w:rPr>
          <w:rFonts w:hint="eastAsia"/>
        </w:rPr>
        <w:t xml:space="preserve">技术沉淀转化为效率[1]</w:t>
      </w:r>
      <w:r>
        <w:t xml:space="preserve"> |</w:t>
      </w:r>
      <w:r>
        <w:br/>
      </w:r>
      <w:r>
        <w:t xml:space="preserve">| </w:t>
      </w:r>
      <w:r>
        <w:rPr>
          <w:rFonts w:hint="eastAsia"/>
        </w:rPr>
        <w:t xml:space="preserve">净利润</w:t>
      </w:r>
      <w:r>
        <w:t xml:space="preserve"> | -5.1 | -2.8 | -1.9 | </w:t>
      </w:r>
      <w:r>
        <w:rPr>
          <w:rFonts w:hint="eastAsia"/>
        </w:rPr>
        <w:t xml:space="preserve">亏损收窄速度慢于营收增长[1]</w:t>
      </w:r>
      <w:r>
        <w:t xml:space="preserve"> |</w:t>
      </w:r>
      <w:r>
        <w:br/>
      </w:r>
      <w:r>
        <w:t xml:space="preserve">| </w:t>
      </w:r>
      <w:r>
        <w:rPr>
          <w:rFonts w:hint="eastAsia"/>
        </w:rPr>
        <w:t xml:space="preserve">经营现金流</w:t>
      </w:r>
      <w:r>
        <w:t xml:space="preserve"> | -3.2 | 0.5 | 2.1 | </w:t>
      </w:r>
      <w:r>
        <w:rPr>
          <w:rFonts w:hint="eastAsia"/>
        </w:rPr>
        <w:t xml:space="preserve">项目回款周期优化[1]</w:t>
      </w:r>
      <w:r>
        <w:t xml:space="preserve"> |</w:t>
      </w:r>
    </w:p>
    <w:p>
      <w:pPr>
        <w:pStyle w:val="BodyText"/>
      </w:pPr>
      <w:r>
        <w:rPr>
          <w:rFonts w:hint="eastAsia"/>
          <w:b/>
          <w:bCs/>
        </w:rPr>
        <w:t xml:space="preserve">敏感性分析</w:t>
      </w:r>
      <w:r>
        <w:rPr>
          <w:rFonts w:hint="eastAsia"/>
        </w:rPr>
        <w:t xml:space="preserve">：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乐观情景</w:t>
      </w:r>
      <w:r>
        <w:rPr>
          <w:rFonts w:hint="eastAsia"/>
        </w:rPr>
        <w:t xml:space="preserve">（行业增速35%+研发率降至30%）：2027年估值上修25%至750亿港币。</w:t>
      </w:r>
    </w:p>
    <w:p>
      <w:pPr>
        <w:pStyle w:val="Compact"/>
        <w:numPr>
          <w:ilvl w:val="0"/>
          <w:numId w:val="1010"/>
        </w:numPr>
      </w:pPr>
      <w:r>
        <w:rPr>
          <w:rFonts w:hint="eastAsia"/>
          <w:b/>
          <w:bCs/>
        </w:rPr>
        <w:t xml:space="preserve">悲观情景</w:t>
      </w:r>
      <w:r>
        <w:rPr>
          <w:rFonts w:hint="eastAsia"/>
        </w:rPr>
        <w:t xml:space="preserve">（行业增速20%+股权融资稀释）：估值下限500亿港币，反映股东减持风险[3]。</w:t>
      </w:r>
    </w:p>
    <w:bookmarkEnd w:id="39"/>
    <w:bookmarkStart w:id="40" w:name="估值结果与风险提示"/>
    <w:p>
      <w:pPr>
        <w:pStyle w:val="Heading3"/>
      </w:pPr>
      <w:r>
        <w:rPr>
          <w:rFonts w:hint="eastAsia"/>
        </w:rPr>
        <w:t xml:space="preserve">估值结果与风险提示</w:t>
      </w:r>
    </w:p>
    <w:p>
      <w:pPr>
        <w:pStyle w:val="FirstParagraph"/>
      </w:pPr>
      <w:r>
        <w:rPr>
          <w:rFonts w:hint="eastAsia"/>
        </w:rPr>
        <w:t xml:space="preserve">DCF模型显示合理估值区间为580-650亿港币（对应股价1.56-1.75港币），与当前市值600亿港币基本持平。相对估值法支撑PS</w:t>
      </w:r>
      <w:r>
        <w:t xml:space="preserve"> </w:t>
      </w:r>
      <w:r>
        <w:rPr>
          <w:rFonts w:hint="eastAsia"/>
        </w:rPr>
        <w:t xml:space="preserve">8.0倍（2025E），隐含上行空间9%。主要风险包括：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盈利不及预期</w:t>
      </w:r>
      <w:r>
        <w:rPr>
          <w:rFonts w:hint="eastAsia"/>
        </w:rPr>
        <w:t xml:space="preserve">：研发转化效率滞后可能导致亏损扩大，拖累现金流[1]。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资金链压力</w:t>
      </w:r>
      <w:r>
        <w:rPr>
          <w:rFonts w:hint="eastAsia"/>
        </w:rPr>
        <w:t xml:space="preserve">：若2025年经营现金流未转正，外部融资依赖度上升至70%[1]。</w:t>
      </w:r>
    </w:p>
    <w:p>
      <w:pPr>
        <w:pStyle w:val="Compact"/>
        <w:numPr>
          <w:ilvl w:val="0"/>
          <w:numId w:val="1011"/>
        </w:numPr>
      </w:pPr>
      <w:r>
        <w:rPr>
          <w:rFonts w:hint="eastAsia"/>
          <w:b/>
          <w:bCs/>
        </w:rPr>
        <w:t xml:space="preserve">股权稳定性</w:t>
      </w:r>
      <w:r>
        <w:rPr>
          <w:rFonts w:hint="eastAsia"/>
        </w:rPr>
        <w:t xml:space="preserve">：软银系剩余4.8%持股潜在减持或引发估值折价[3]。</w:t>
      </w:r>
    </w:p>
    <w:p>
      <w:pPr>
        <w:pStyle w:val="FirstParagraph"/>
      </w:pPr>
      <w:r>
        <w:rPr>
          <w:rFonts w:hint="eastAsia"/>
        </w:rPr>
        <w:t xml:space="preserve">（数据来源：东方财富-港股-财务报表[1]；同花顺-主营介绍[2]；同花顺-股东信息网页爬虫[3]）</w:t>
      </w:r>
    </w:p>
    <w:bookmarkEnd w:id="40"/>
    <w:bookmarkEnd w:id="41"/>
    <w:bookmarkStart w:id="46" w:name="治理结构与股权演变"/>
    <w:p>
      <w:pPr>
        <w:pStyle w:val="Heading2"/>
      </w:pPr>
      <w:r>
        <w:rPr>
          <w:rFonts w:hint="eastAsia"/>
        </w:rPr>
        <w:t xml:space="preserve">治理结构与股权演变</w:t>
      </w:r>
    </w:p>
    <w:p>
      <w:pPr>
        <w:pStyle w:val="FirstParagraph"/>
      </w:pPr>
      <w:r>
        <w:rPr>
          <w:rFonts w:hint="eastAsia"/>
        </w:rPr>
        <w:t xml:space="preserve">商汤科技（港股代码：00020）的治理结构以董事会为核心，由董事长徐立领导，公司秘书为黄慧儿和林洁敏[2]。董事会下设专业委员会，负责监督战略决策和风险管理，确保公司治理符合国际标准。股权结构自2021年起呈现显著演变趋势，主要基于股东变动和管理层持股动态[3]。</w:t>
      </w:r>
    </w:p>
    <w:bookmarkStart w:id="42" w:name="治理结构核心特征"/>
    <w:p>
      <w:pPr>
        <w:pStyle w:val="Heading3"/>
      </w:pPr>
      <w:r>
        <w:rPr>
          <w:rFonts w:hint="eastAsia"/>
        </w:rPr>
        <w:t xml:space="preserve">治理结构核心特征</w:t>
      </w:r>
    </w:p>
    <w:p>
      <w:pPr>
        <w:pStyle w:val="FirstParagraph"/>
      </w:pPr>
      <w:r>
        <w:rPr>
          <w:rFonts w:hint="eastAsia"/>
        </w:rPr>
        <w:t xml:space="preserve">公司采用双层治理架构，董事会由执行董事、非执行董事及独立非执行董事组成，确保决策独立性与制衡机制。董事长徐立兼任首席执行官，主导技术研发与商业化战略；独立董事占比达三分之一，强化监督职能。公司治理框架遵循开曼群岛法律及香港联交所上市规则，定期发布ESG报告披露治理绩效[2]。管理层激励机制与股权绑定，高管薪酬结构中股权占比超60%，以长期价值为导向[3]。</w:t>
      </w:r>
    </w:p>
    <w:bookmarkEnd w:id="42"/>
    <w:bookmarkStart w:id="43" w:name="股权演变分析2021-2024年"/>
    <w:p>
      <w:pPr>
        <w:pStyle w:val="Heading3"/>
      </w:pPr>
      <w:r>
        <w:rPr>
          <w:rFonts w:hint="eastAsia"/>
        </w:rPr>
        <w:t xml:space="preserve">股权演变分析（2021-2024年）</w:t>
      </w:r>
    </w:p>
    <w:p>
      <w:pPr>
        <w:pStyle w:val="FirstParagraph"/>
      </w:pPr>
      <w:r>
        <w:rPr>
          <w:rFonts w:hint="eastAsia"/>
        </w:rPr>
        <w:t xml:space="preserve">股权结构显示以下关键变化：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控股股东稳定性</w:t>
      </w:r>
      <w:r>
        <w:rPr>
          <w:rFonts w:hint="eastAsia"/>
        </w:rPr>
        <w:t xml:space="preserve">：Amind</w:t>
      </w:r>
      <w:r>
        <w:t xml:space="preserve"> </w:t>
      </w:r>
      <w:r>
        <w:rPr>
          <w:rFonts w:hint="eastAsia"/>
        </w:rPr>
        <w:t xml:space="preserve">Inc.（由创始人汤晓鸥控制）持股比例保持稳定，2021年持股20.75%，2024年底小幅降至690,608.06万股（占比18.66%），近三年无增减持记录，反映控制权核心稳固[3]。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战略投资者减持</w:t>
      </w:r>
      <w:r>
        <w:rPr>
          <w:rFonts w:hint="eastAsia"/>
        </w:rPr>
        <w:t xml:space="preserve">：软银系（SVF</w:t>
      </w:r>
      <w:r>
        <w:t xml:space="preserve"> </w:t>
      </w:r>
      <w:r>
        <w:rPr>
          <w:rFonts w:hint="eastAsia"/>
        </w:rPr>
        <w:t xml:space="preserve">Sense）2021年持股47.3万股（14.21%），2023年退出主要股东行列；2024年3-4月通过7次减持，持股从23.3万降至12.5万手，占比从8.96%降至4.80%，平均单次减持3,000-7,000手[3]。阿里巴巴（淘宝中国）同期从24.1万股（7.24%）减持至2023年8.2万股（3.15%），显示外资资本逐步退出[3]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管理层持股平台变动</w:t>
      </w:r>
      <w:r>
        <w:rPr>
          <w:rFonts w:hint="eastAsia"/>
        </w:rPr>
        <w:t xml:space="preserve">：SenseTalent</w:t>
      </w:r>
      <w:r>
        <w:t xml:space="preserve"> </w:t>
      </w:r>
      <w:r>
        <w:rPr>
          <w:rFonts w:hint="eastAsia"/>
        </w:rPr>
        <w:t xml:space="preserve">Management（管理层持股载体）持续减持，从2021年38.7万股（11.63%）降至2024年20.1万股（5.42%），累计减持约18万手；但核心高管个人持股稳定，徐立通过XWORLD持股维持在2.8万股（0.77-0.86%），王晓刚通过Infinity</w:t>
      </w:r>
      <w:r>
        <w:t xml:space="preserve"> </w:t>
      </w:r>
      <w:r>
        <w:rPr>
          <w:rFonts w:hint="eastAsia"/>
        </w:rPr>
        <w:t xml:space="preserve">Vision持股2.3万股（0.63-0.70%），徐冰个人及关联平台合计持股约3.6万股（0.99-1.02%）[3]。</w:t>
      </w:r>
    </w:p>
    <w:p>
      <w:pPr>
        <w:pStyle w:val="Compact"/>
        <w:numPr>
          <w:ilvl w:val="0"/>
          <w:numId w:val="1012"/>
        </w:numPr>
      </w:pPr>
      <w:r>
        <w:rPr>
          <w:rFonts w:hint="eastAsia"/>
          <w:b/>
          <w:bCs/>
        </w:rPr>
        <w:t xml:space="preserve">股权集中度稀释</w:t>
      </w:r>
      <w:r>
        <w:rPr>
          <w:rFonts w:hint="eastAsia"/>
        </w:rPr>
        <w:t xml:space="preserve">：前三大股东合计持股比例从2021年73.2%大幅降至2024年24.85%，机构持股比例从45%降至10%，流通股比例显著提升至75%以上，反映股权分散化趋势[3]。</w:t>
      </w:r>
    </w:p>
    <w:bookmarkEnd w:id="43"/>
    <w:bookmarkStart w:id="44" w:name="近期重大变动与信号"/>
    <w:p>
      <w:pPr>
        <w:pStyle w:val="Heading3"/>
      </w:pPr>
      <w:r>
        <w:rPr>
          <w:rFonts w:hint="eastAsia"/>
        </w:rPr>
        <w:t xml:space="preserve">近期重大变动与信号</w:t>
      </w:r>
    </w:p>
    <w:p>
      <w:pPr>
        <w:pStyle w:val="FirstParagraph"/>
      </w:pPr>
      <w:r>
        <w:rPr>
          <w:rFonts w:hint="eastAsia"/>
        </w:rPr>
        <w:t xml:space="preserve">2024年管理层增持行为凸显内部信心：徐立与徐冰2024年3月各增持500手，持股分别增至57,038.65手（1.57%）和26,723.66手（0.73%）；同年9月徐冰额外增持1,000手[3]。同期，汤晓鸥通过多个LP平台（如SenseVision）的持股在2022年后陆续退出，合计减持约17万手（5.06%）[3]。</w:t>
      </w:r>
    </w:p>
    <w:bookmarkEnd w:id="44"/>
    <w:bookmarkStart w:id="45" w:name="治理风险提示"/>
    <w:p>
      <w:pPr>
        <w:pStyle w:val="Heading3"/>
      </w:pPr>
      <w:r>
        <w:rPr>
          <w:rFonts w:hint="eastAsia"/>
        </w:rPr>
        <w:t xml:space="preserve">治理风险提示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控制权稳定性风险</w:t>
      </w:r>
      <w:r>
        <w:rPr>
          <w:rFonts w:hint="eastAsia"/>
        </w:rPr>
        <w:t xml:space="preserve">：最大股东持股比例低于20%，股权分散化增加潜在控制权争夺或敌意收购可能性[3]。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股东减持压力</w:t>
      </w:r>
      <w:r>
        <w:rPr>
          <w:rFonts w:hint="eastAsia"/>
        </w:rPr>
        <w:t xml:space="preserve">：软银系剩余4.80%持股及SenseTalent的持续减持可能引发市场流动性冲击和估值折价[3]。</w:t>
      </w:r>
    </w:p>
    <w:p>
      <w:pPr>
        <w:pStyle w:val="Compact"/>
        <w:numPr>
          <w:ilvl w:val="0"/>
          <w:numId w:val="1013"/>
        </w:numPr>
      </w:pPr>
      <w:r>
        <w:rPr>
          <w:rFonts w:hint="eastAsia"/>
          <w:b/>
          <w:bCs/>
        </w:rPr>
        <w:t xml:space="preserve">激励机制有效性</w:t>
      </w:r>
      <w:r>
        <w:rPr>
          <w:rFonts w:hint="eastAsia"/>
        </w:rPr>
        <w:t xml:space="preserve">：管理层持股平台减持与个人增持的分歧，需关注治理协同性是否影响战略执行[3]。</w:t>
      </w:r>
    </w:p>
    <w:p>
      <w:pPr>
        <w:pStyle w:val="FirstParagraph"/>
      </w:pPr>
      <w:r>
        <w:rPr>
          <w:rFonts w:hint="eastAsia"/>
        </w:rPr>
        <w:t xml:space="preserve">（数据来源：东方财富-港股-财务报表[1]；同花顺-主营介绍[2]；同花顺-股东信息网页爬虫[3]）</w:t>
      </w:r>
    </w:p>
    <w:bookmarkEnd w:id="45"/>
    <w:bookmarkEnd w:id="46"/>
    <w:bookmarkStart w:id="54" w:name="投资策略建议"/>
    <w:p>
      <w:pPr>
        <w:pStyle w:val="Heading2"/>
      </w:pPr>
      <w:r>
        <w:rPr>
          <w:rFonts w:hint="eastAsia"/>
        </w:rPr>
        <w:t xml:space="preserve">投资策略建议</w:t>
      </w:r>
    </w:p>
    <w:p>
      <w:pPr>
        <w:pStyle w:val="FirstParagraph"/>
      </w:pPr>
      <w:r>
        <w:rPr>
          <w:rFonts w:hint="eastAsia"/>
        </w:rPr>
        <w:t xml:space="preserve">基于对商汤科技（港股代码：00020）的全面分析，结合公司基本面、财务表现、行业竞争格局、估值模型及治理结构评估，本报告提出以下投资策略建议。建议聚焦公司核心增长引擎与风险平衡，依托量化预测数据支撑决策逻辑。</w:t>
      </w:r>
    </w:p>
    <w:bookmarkStart w:id="49" w:name="投资评级与目标价"/>
    <w:p>
      <w:pPr>
        <w:pStyle w:val="Heading3"/>
      </w:pPr>
      <w:r>
        <w:rPr>
          <w:rFonts w:hint="eastAsia"/>
        </w:rPr>
        <w:t xml:space="preserve">投资评级与目标价</w:t>
      </w:r>
    </w:p>
    <w:p>
      <w:pPr>
        <w:pStyle w:val="FirstParagraph"/>
      </w:pPr>
      <w:r>
        <w:rPr>
          <w:rFonts w:hint="eastAsia"/>
        </w:rPr>
        <w:t xml:space="preserve">综合折现现金流（DCF）模型和相对估值法结果，商汤科技当前市值600亿港币处于合理估值区间（DCF隐含区间580-650亿港币）。相对估值法显示2025年预测市销率（PS）8.0倍，较同业均值存在9%上行空间[1]。建议维持**</w:t>
      </w:r>
      <w:r>
        <w:rPr>
          <w:rFonts w:hint="eastAsia"/>
        </w:rPr>
        <w:t xml:space="preserve">“谨慎增持”</w:t>
      </w:r>
      <w:r>
        <w:rPr>
          <w:rFonts w:hint="eastAsia"/>
        </w:rPr>
        <w:t xml:space="preserve">评级**，目标价区间1.56-1.75港币，对应2025年预期营收44.5亿元的7.5-9.0倍PS倍数（如图1所示）[1][2]。</w:t>
      </w:r>
      <w:r>
        <w:br/>
      </w:r>
      <w:r>
        <w:drawing>
          <wp:inline>
            <wp:extent cx="5334000" cy="3994599"/>
            <wp:effectExtent b="0" l="0" r="0" t="0"/>
            <wp:docPr descr="营业收入对比" title="" id="47" name="Picture"/>
            <a:graphic>
              <a:graphicData uri="http://schemas.openxmlformats.org/drawingml/2006/picture">
                <pic:pic>
                  <pic:nvPicPr>
                    <pic:cNvPr descr="./images/营业收入对比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核心配置逻辑"/>
    <w:p>
      <w:pPr>
        <w:pStyle w:val="Heading3"/>
      </w:pPr>
      <w:r>
        <w:rPr>
          <w:rFonts w:hint="eastAsia"/>
        </w:rPr>
        <w:t xml:space="preserve">核心配置逻辑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增长驱动聚焦</w:t>
      </w:r>
      <w:r>
        <w:rPr>
          <w:rFonts w:hint="eastAsia"/>
        </w:rPr>
        <w:t xml:space="preserve">：智慧城市与智能汽车板块为关键增长引擎，2025-2027年预测复合增长率分别为22%和35%[2]。建议优先关注政府AI基建订单落地及车企合作进展（已合作车企12家），该板块占2024年营收65%，政策红利将持续释放[1][2]。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盈利改善路径</w:t>
      </w:r>
      <w:r>
        <w:rPr>
          <w:rFonts w:hint="eastAsia"/>
        </w:rPr>
        <w:t xml:space="preserve">：研发费用率预计从2024年43%降至2027年35%，规模化效应推动毛利率升至44.5%，净亏损率从-12%收窄至-3%[1]。扭亏时点锚定2028年，建议在2026年亏损收窄至-2.8亿元时加大配置权重[1]。</w:t>
      </w:r>
    </w:p>
    <w:p>
      <w:pPr>
        <w:pStyle w:val="Compact"/>
        <w:numPr>
          <w:ilvl w:val="0"/>
          <w:numId w:val="1014"/>
        </w:numPr>
      </w:pPr>
      <w:r>
        <w:rPr>
          <w:rFonts w:hint="eastAsia"/>
          <w:b/>
          <w:bCs/>
        </w:rPr>
        <w:t xml:space="preserve">现金流优化信号</w:t>
      </w:r>
      <w:r>
        <w:rPr>
          <w:rFonts w:hint="eastAsia"/>
        </w:rPr>
        <w:t xml:space="preserve">：经营现金流预期2026年转正（+0.5亿元），2027年提升至+2.1亿元，项目回款周期缩短将降低外部融资依赖度（当前依赖度70%）[1]。若2025年现金流改善早于预期，可上修估值25%至750亿港币[1]。</w:t>
      </w:r>
    </w:p>
    <w:bookmarkEnd w:id="50"/>
    <w:bookmarkStart w:id="51" w:name="风险对冲策略"/>
    <w:p>
      <w:pPr>
        <w:pStyle w:val="Heading3"/>
      </w:pPr>
      <w:r>
        <w:rPr>
          <w:rFonts w:hint="eastAsia"/>
        </w:rPr>
        <w:t xml:space="preserve">风险对冲策略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股东减持风险</w:t>
      </w:r>
      <w:r>
        <w:rPr>
          <w:rFonts w:hint="eastAsia"/>
        </w:rPr>
        <w:t xml:space="preserve">：软银系剩余持股4.80%及SenseTalent减持压力需动态监控[3]。建议设置减持预警阈值（单月减持超0.5%），触发时短期降低仓位。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盈利不及预期应对</w:t>
      </w:r>
      <w:r>
        <w:rPr>
          <w:rFonts w:hint="eastAsia"/>
        </w:rPr>
        <w:t xml:space="preserve">：若2025年研发费用率高于40.5%或营收增速低于18.5%，估值下限支撑500亿港币，对应止损位1.35港币[1][2]。</w:t>
      </w:r>
    </w:p>
    <w:p>
      <w:pPr>
        <w:pStyle w:val="Compact"/>
        <w:numPr>
          <w:ilvl w:val="0"/>
          <w:numId w:val="1015"/>
        </w:numPr>
      </w:pPr>
      <w:r>
        <w:rPr>
          <w:rFonts w:hint="eastAsia"/>
          <w:b/>
          <w:bCs/>
        </w:rPr>
        <w:t xml:space="preserve">流动性管理</w:t>
      </w:r>
      <w:r>
        <w:rPr>
          <w:rFonts w:hint="eastAsia"/>
        </w:rPr>
        <w:t xml:space="preserve">：股权分散化（前三大股东持股仅24.85%）可能放大股价波动[3]。建议采用分批建仓策略，初始仓位不超过组合5%，波动率超30%时启动对冲工具。</w:t>
      </w:r>
    </w:p>
    <w:bookmarkEnd w:id="51"/>
    <w:bookmarkStart w:id="52" w:name="行业轮动建议"/>
    <w:p>
      <w:pPr>
        <w:pStyle w:val="Heading3"/>
      </w:pPr>
      <w:r>
        <w:rPr>
          <w:rFonts w:hint="eastAsia"/>
        </w:rPr>
        <w:t xml:space="preserve">行业轮动建议</w:t>
      </w:r>
    </w:p>
    <w:p>
      <w:pPr>
        <w:pStyle w:val="FirstParagraph"/>
      </w:pPr>
      <w:r>
        <w:rPr>
          <w:rFonts w:hint="eastAsia"/>
        </w:rPr>
        <w:t xml:space="preserve">在AI软件赛道内，商汤科技相较同业具显著规模优势（2024年营收37.7亿元，为云从科技3.5倍）但盈利转化滞后[1]。建议采用**</w:t>
      </w:r>
      <w:r>
        <w:rPr>
          <w:rFonts w:hint="eastAsia"/>
        </w:rPr>
        <w:t xml:space="preserve">“杠铃策略”</w:t>
      </w:r>
      <w:r>
        <w:rPr>
          <w:rFonts w:hint="eastAsia"/>
        </w:rPr>
        <w:t xml:space="preserve">**：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70%配置商汤科技，捕捉智慧城市/汽车板块高增长红利；</w:t>
      </w:r>
    </w:p>
    <w:p>
      <w:pPr>
        <w:pStyle w:val="Compact"/>
        <w:numPr>
          <w:ilvl w:val="0"/>
          <w:numId w:val="1016"/>
        </w:numPr>
      </w:pPr>
      <w:r>
        <w:rPr>
          <w:rFonts w:hint="eastAsia"/>
        </w:rPr>
        <w:t xml:space="preserve">30%配置寒武纪（A股代码：688256）等AI芯片企业，形成产业链协同对冲（寒武纪思元370芯片提供256TOPS算力支撑商汤SenseCore平台）[2]。</w:t>
      </w:r>
      <w:r>
        <w:br/>
      </w:r>
      <w:r>
        <w:rPr>
          <w:rFonts w:hint="eastAsia"/>
        </w:rPr>
        <w:t xml:space="preserve">避免同业过度集中，云从科技（PS</w:t>
      </w:r>
      <w:r>
        <w:t xml:space="preserve"> </w:t>
      </w:r>
      <w:r>
        <w:rPr>
          <w:rFonts w:hint="eastAsia"/>
        </w:rPr>
        <w:t xml:space="preserve">10.5倍）及科大讯飞（净利率5-8%）估值溢价已反映短期预期[1]。</w:t>
      </w:r>
    </w:p>
    <w:bookmarkEnd w:id="52"/>
    <w:bookmarkStart w:id="53" w:name="长期战略锚点"/>
    <w:p>
      <w:pPr>
        <w:pStyle w:val="Heading3"/>
      </w:pPr>
      <w:r>
        <w:rPr>
          <w:rFonts w:hint="eastAsia"/>
        </w:rPr>
        <w:t xml:space="preserve">长期战略锚点</w:t>
      </w:r>
    </w:p>
    <w:p>
      <w:pPr>
        <w:pStyle w:val="FirstParagraph"/>
      </w:pPr>
      <w:r>
        <w:rPr>
          <w:rFonts w:hint="eastAsia"/>
        </w:rPr>
        <w:t xml:space="preserve">管理层增持信号（徐立2024年增持500手）强化治理信心[3]。建议长期持有至2027年，核心观测指标包括：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智能汽车营收占比突破30%（2024年为22%）[2]；</w:t>
      </w:r>
    </w:p>
    <w:p>
      <w:pPr>
        <w:pStyle w:val="Compact"/>
        <w:numPr>
          <w:ilvl w:val="0"/>
          <w:numId w:val="1017"/>
        </w:numPr>
      </w:pPr>
      <w:r>
        <w:rPr>
          <w:rFonts w:hint="eastAsia"/>
        </w:rPr>
        <w:t xml:space="preserve">应收账款周转率从1.2倍提升至1.8倍[1]；</w:t>
      </w:r>
    </w:p>
    <w:p>
      <w:pPr>
        <w:pStyle w:val="Compact"/>
        <w:numPr>
          <w:ilvl w:val="0"/>
          <w:numId w:val="1017"/>
        </w:numPr>
      </w:pPr>
      <w:r>
        <w:t xml:space="preserve">SenseCore </w:t>
      </w:r>
      <w:r>
        <w:rPr>
          <w:rFonts w:hint="eastAsia"/>
        </w:rPr>
        <w:t xml:space="preserve">AI大装置客户渗透率翻倍（当前覆盖70家企业）[2]。</w:t>
      </w:r>
    </w:p>
    <w:p>
      <w:pPr>
        <w:pStyle w:val="FirstParagraph"/>
      </w:pPr>
      <w:r>
        <w:rPr>
          <w:rFonts w:hint="eastAsia"/>
        </w:rPr>
        <w:t xml:space="preserve">（数据来源：东方财富-港股-财务报表[1]；同花顺-主营介绍[2]；同花顺-股东信息网页爬虫[3]）</w:t>
      </w:r>
    </w:p>
    <w:bookmarkEnd w:id="53"/>
    <w:bookmarkEnd w:id="54"/>
    <w:bookmarkStart w:id="65" w:name="核心风险提示-1"/>
    <w:p>
      <w:pPr>
        <w:pStyle w:val="Heading2"/>
      </w:pPr>
      <w:r>
        <w:rPr>
          <w:rFonts w:hint="eastAsia"/>
        </w:rPr>
        <w:t xml:space="preserve">核心风险提示</w:t>
      </w:r>
    </w:p>
    <w:p>
      <w:pPr>
        <w:pStyle w:val="FirstParagraph"/>
      </w:pPr>
      <w:r>
        <w:rPr>
          <w:rFonts w:hint="eastAsia"/>
        </w:rPr>
        <w:t xml:space="preserve">商汤科技（港股代码：00020）作为人工智能行业领导者，面临多重结构性风险，需投资者高度警惕。核心风险点基于财务数据、股权动态及行业竞争格局分析如下：</w:t>
      </w:r>
    </w:p>
    <w:bookmarkStart w:id="55" w:name="股东减持与股权稳定性风险"/>
    <w:p>
      <w:pPr>
        <w:pStyle w:val="Heading3"/>
      </w:pPr>
      <w:r>
        <w:t xml:space="preserve">1.</w:t>
      </w:r>
      <w:r>
        <w:t xml:space="preserve"> </w:t>
      </w:r>
      <w:r>
        <w:rPr>
          <w:rFonts w:hint="eastAsia"/>
          <w:b/>
          <w:bCs/>
        </w:rPr>
        <w:t xml:space="preserve">股东减持与股权稳定性风险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战略投资者持续减持</w:t>
      </w:r>
      <w:r>
        <w:rPr>
          <w:rFonts w:hint="eastAsia"/>
        </w:rPr>
        <w:t xml:space="preserve">：软银系（SVF</w:t>
      </w:r>
      <w:r>
        <w:t xml:space="preserve"> </w:t>
      </w:r>
      <w:r>
        <w:rPr>
          <w:rFonts w:hint="eastAsia"/>
        </w:rPr>
        <w:t xml:space="preserve">Sense）持股比例从2021年14.21%降至2024年4.80%，2024年3-4月通过7次减持累计减少10.8万手；管理层持股平台SenseTalent同步减持，持股比例从11.63%降至5.42%，引发市场流动性压力及估值折价[3]。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控制权弱化风险</w:t>
      </w:r>
      <w:r>
        <w:rPr>
          <w:rFonts w:hint="eastAsia"/>
        </w:rPr>
        <w:t xml:space="preserve">：最大股东Amind</w:t>
      </w:r>
      <w:r>
        <w:t xml:space="preserve"> </w:t>
      </w:r>
      <w:r>
        <w:rPr>
          <w:rFonts w:hint="eastAsia"/>
        </w:rPr>
        <w:t xml:space="preserve">Inc.（汤晓鸥控制）持股比例降至18.66%，前三大股东合计持股比例从2021年73.2%大幅降至2024年24.85%，股权分散化增加敌意收购或控制权争夺可能性[3]。</w:t>
      </w:r>
    </w:p>
    <w:p>
      <w:pPr>
        <w:pStyle w:val="Compact"/>
        <w:numPr>
          <w:ilvl w:val="0"/>
          <w:numId w:val="1018"/>
        </w:numPr>
      </w:pPr>
      <w:r>
        <w:rPr>
          <w:rFonts w:hint="eastAsia"/>
          <w:b/>
          <w:bCs/>
        </w:rPr>
        <w:t xml:space="preserve">治理协同性挑战</w:t>
      </w:r>
      <w:r>
        <w:rPr>
          <w:rFonts w:hint="eastAsia"/>
        </w:rPr>
        <w:t xml:space="preserve">：管理层持股平台减持与个人增持（如徐立2024年增持500手）存在分歧，可能影响战略执行效率[3]。</w:t>
      </w:r>
    </w:p>
    <w:bookmarkEnd w:id="55"/>
    <w:bookmarkStart w:id="60" w:name="财务可持续性风险"/>
    <w:p>
      <w:pPr>
        <w:pStyle w:val="Heading3"/>
      </w:pPr>
      <w:r>
        <w:t xml:space="preserve">2.</w:t>
      </w:r>
      <w:r>
        <w:t xml:space="preserve"> </w:t>
      </w:r>
      <w:r>
        <w:rPr>
          <w:rFonts w:hint="eastAsia"/>
          <w:b/>
          <w:bCs/>
        </w:rPr>
        <w:t xml:space="preserve">财务可持续性风险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盈利压力加剧</w:t>
      </w:r>
      <w:r>
        <w:rPr>
          <w:rFonts w:hint="eastAsia"/>
        </w:rPr>
        <w:t xml:space="preserve">：净利润率持续下滑，2023年转为负值（-8%），2024年恶化至-12%，反映高研发投入（占营收43%）未能有效转化为盈利。亏损规模显著高于同业，2021年亏损达171.4亿元，远超云从科技同期6.64亿元[1]。</w:t>
      </w:r>
      <w:r>
        <w:br/>
      </w:r>
      <w:r>
        <w:drawing>
          <wp:inline>
            <wp:extent cx="5334000" cy="3537063"/>
            <wp:effectExtent b="0" l="0" r="0" t="0"/>
            <wp:docPr descr="盈利能力分析" title="" id="56" name="Picture"/>
            <a:graphic>
              <a:graphicData uri="http://schemas.openxmlformats.org/drawingml/2006/picture">
                <pic:pic>
                  <pic:nvPicPr>
                    <pic:cNvPr descr="./images/盈利能力分析_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[1]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现金流依赖外部融资</w:t>
      </w:r>
      <w:r>
        <w:rPr>
          <w:rFonts w:hint="eastAsia"/>
        </w:rPr>
        <w:t xml:space="preserve">：经营活动现金流波动剧烈，2024年自由现金流缺口扩大至25亿元；现金储备较峰值下降30%，外部融资依赖度达70%。若2025年经营现金流未转正，资金链压力将显著上升[1]。</w:t>
      </w:r>
      <w:r>
        <w:br/>
      </w:r>
      <w:r>
        <w:drawing>
          <wp:inline>
            <wp:extent cx="5334000" cy="2654709"/>
            <wp:effectExtent b="0" l="0" r="0" t="0"/>
            <wp:docPr descr="现金流状况分析" title="" id="58" name="Picture"/>
            <a:graphic>
              <a:graphicData uri="http://schemas.openxmlformats.org/drawingml/2006/picture">
                <pic:pic>
                  <pic:nvPicPr>
                    <pic:cNvPr descr="./images/现金流状况分析_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4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[1]</w:t>
      </w:r>
    </w:p>
    <w:p>
      <w:pPr>
        <w:pStyle w:val="Compact"/>
        <w:numPr>
          <w:ilvl w:val="0"/>
          <w:numId w:val="1019"/>
        </w:numPr>
      </w:pPr>
      <w:r>
        <w:rPr>
          <w:rFonts w:hint="eastAsia"/>
          <w:b/>
          <w:bCs/>
        </w:rPr>
        <w:t xml:space="preserve">资产效率下滑</w:t>
      </w:r>
      <w:r>
        <w:rPr>
          <w:rFonts w:hint="eastAsia"/>
        </w:rPr>
        <w:t xml:space="preserve">：总资产周转率2023年降至0.35，流动资产占比虽超60%，但资源利用效率不足，影响长期投资能力[1]。</w:t>
      </w:r>
    </w:p>
    <w:bookmarkEnd w:id="60"/>
    <w:bookmarkStart w:id="63" w:name="行业竞争与商业化风险"/>
    <w:p>
      <w:pPr>
        <w:pStyle w:val="Heading3"/>
      </w:pPr>
      <w:r>
        <w:t xml:space="preserve">3.</w:t>
      </w:r>
      <w:r>
        <w:t xml:space="preserve"> </w:t>
      </w:r>
      <w:r>
        <w:rPr>
          <w:rFonts w:hint="eastAsia"/>
          <w:b/>
          <w:bCs/>
        </w:rPr>
        <w:t xml:space="preserve">行业竞争与商业化风险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市场份额侵蚀</w:t>
      </w:r>
      <w:r>
        <w:rPr>
          <w:rFonts w:hint="eastAsia"/>
        </w:rPr>
        <w:t xml:space="preserve">：AI解决方案市场竞争加剧，商汤科技市值从2021年峰值1,400亿港币缩水至600亿港币。同业如科大讯飞2024年营收达24.95亿元，净利率3-8%，显示更强商业化能力；云从科技营收复合增长率达185%，增速领先[1][2]。</w:t>
      </w:r>
      <w:r>
        <w:br/>
      </w:r>
      <w:r>
        <w:drawing>
          <wp:inline>
            <wp:extent cx="5334000" cy="3994599"/>
            <wp:effectExtent b="0" l="0" r="0" t="0"/>
            <wp:docPr descr="营业收入对比" title="" id="61" name="Picture"/>
            <a:graphic>
              <a:graphicData uri="http://schemas.openxmlformats.org/drawingml/2006/picture">
                <pic:pic>
                  <pic:nvPicPr>
                    <pic:cNvPr descr="./images/营业收入对比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5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[1]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技术迭代压力</w:t>
      </w:r>
      <w:r>
        <w:rPr>
          <w:rFonts w:hint="eastAsia"/>
        </w:rPr>
        <w:t xml:space="preserve">：行业技术更新周期缩短，寒武纪7nm制程芯片（思元370系列）提供256TOPS算力，百度整合GPT-4驱动Bing</w:t>
      </w:r>
      <w:r>
        <w:t xml:space="preserve"> </w:t>
      </w:r>
      <w:r>
        <w:rPr>
          <w:rFonts w:hint="eastAsia"/>
        </w:rPr>
        <w:t xml:space="preserve">Chat，可能削弱商汤SenseCore平台技术壁垒[2]。</w:t>
      </w:r>
    </w:p>
    <w:p>
      <w:pPr>
        <w:pStyle w:val="Compact"/>
        <w:numPr>
          <w:ilvl w:val="0"/>
          <w:numId w:val="1020"/>
        </w:numPr>
      </w:pPr>
      <w:r>
        <w:rPr>
          <w:rFonts w:hint="eastAsia"/>
          <w:b/>
          <w:bCs/>
        </w:rPr>
        <w:t xml:space="preserve">政策依赖性</w:t>
      </w:r>
      <w:r>
        <w:rPr>
          <w:rFonts w:hint="eastAsia"/>
        </w:rPr>
        <w:t xml:space="preserve">：智慧城市板块占营收65%，依赖政府AI基建投资，政策变动或预算削减将直接冲击收入增长[2]。</w:t>
      </w:r>
    </w:p>
    <w:bookmarkEnd w:id="63"/>
    <w:bookmarkStart w:id="64" w:name="估值与流动性风险"/>
    <w:p>
      <w:pPr>
        <w:pStyle w:val="Heading3"/>
      </w:pPr>
      <w:r>
        <w:t xml:space="preserve">4.</w:t>
      </w:r>
      <w:r>
        <w:t xml:space="preserve"> </w:t>
      </w:r>
      <w:r>
        <w:rPr>
          <w:rFonts w:hint="eastAsia"/>
          <w:b/>
          <w:bCs/>
        </w:rPr>
        <w:t xml:space="preserve">估值与流动性风险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盈利预期落差</w:t>
      </w:r>
      <w:r>
        <w:rPr>
          <w:rFonts w:hint="eastAsia"/>
        </w:rPr>
        <w:t xml:space="preserve">：DCF模型显示合理估值580-650亿港币，但若2025年研发费用率高于40.5%或营收增速低于18.5%，估值下限支撑降至500亿港币（对应股价1.35港币）[1]。</w:t>
      </w:r>
    </w:p>
    <w:p>
      <w:pPr>
        <w:pStyle w:val="Compact"/>
        <w:numPr>
          <w:ilvl w:val="0"/>
          <w:numId w:val="1021"/>
        </w:numPr>
      </w:pPr>
      <w:r>
        <w:rPr>
          <w:rFonts w:hint="eastAsia"/>
          <w:b/>
          <w:bCs/>
        </w:rPr>
        <w:t xml:space="preserve">减持引发的流动性冲击</w:t>
      </w:r>
      <w:r>
        <w:rPr>
          <w:rFonts w:hint="eastAsia"/>
        </w:rPr>
        <w:t xml:space="preserve">：软银系剩余4.80%持股潜在减持可能触发股价波动，叠加股权分散化（流通股比例&gt;75%），市场流动性风险放大[3]。</w:t>
      </w:r>
    </w:p>
    <w:p>
      <w:pPr>
        <w:pStyle w:val="FirstParagraph"/>
      </w:pPr>
      <w:r>
        <w:rPr>
          <w:rFonts w:hint="eastAsia"/>
        </w:rPr>
        <w:t xml:space="preserve">（数据来源：东方财富-港股-财务报表[1]；同花顺-主营介绍[2]；同花顺-股东信息网页爬虫[3]）</w:t>
      </w:r>
    </w:p>
    <w:bookmarkEnd w:id="64"/>
    <w:bookmarkEnd w:id="65"/>
    <w:bookmarkStart w:id="69" w:name="数据来源与方法论"/>
    <w:p>
      <w:pPr>
        <w:pStyle w:val="Heading2"/>
      </w:pPr>
      <w:r>
        <w:rPr>
          <w:rFonts w:hint="eastAsia"/>
        </w:rPr>
        <w:t xml:space="preserve">数据来源与方法论</w:t>
      </w:r>
    </w:p>
    <w:p>
      <w:pPr>
        <w:pStyle w:val="FirstParagraph"/>
      </w:pPr>
      <w:r>
        <w:rPr>
          <w:rFonts w:hint="eastAsia"/>
        </w:rPr>
        <w:t xml:space="preserve">本研报采用标准化数据采集与分析框架，确保研究结论的客观性与可追溯性。数据源覆盖公司财务、业务运营及市场动态等多维度信息，结合自动化处理与专业分析工具，实现高效、准确的数据整合。</w:t>
      </w:r>
    </w:p>
    <w:bookmarkStart w:id="66" w:name="数据采集规范"/>
    <w:p>
      <w:pPr>
        <w:pStyle w:val="Heading3"/>
      </w:pPr>
      <w:r>
        <w:rPr>
          <w:rFonts w:hint="eastAsia"/>
        </w:rPr>
        <w:t xml:space="preserve">数据采集规范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财务数据来源</w:t>
      </w:r>
      <w:r>
        <w:rPr>
          <w:rFonts w:hint="eastAsia"/>
        </w:rPr>
        <w:t xml:space="preserve">：核心财务指标（包括资产负债表、利润表、现金流量表）均源自东方财富港股平台标准化接口，涵盖商汤科技2018-2024年完整财务序列。数据经自动化清洗与校验，剔除异常值并统一货币单位（人民币），确保跨期可比性（数据来源：东方财富-港股-财务报表[1]）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业务信息采集</w:t>
      </w:r>
      <w:r>
        <w:rPr>
          <w:rFonts w:hint="eastAsia"/>
        </w:rPr>
        <w:t xml:space="preserve">：主营业务结构、技术布局及行业定位信息通过同花顺主营介绍模块获取，包括智慧商业、智慧城市等四大板块的营收占比与技术细节（数据来源：同花顺-主营介绍[2]）。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股权动态监测</w:t>
      </w:r>
      <w:r>
        <w:rPr>
          <w:rFonts w:hint="eastAsia"/>
        </w:rPr>
        <w:t xml:space="preserve">：股东持股变动、管理层增/减持记录及股权集中度数据，基于同花顺股东信息页面的网页爬虫技术实时抓取，覆盖2021-2024年关键时点持股变化（数据来源：同花顺-股东信息网页爬虫[3]）。</w:t>
      </w:r>
    </w:p>
    <w:p>
      <w:pPr>
        <w:pStyle w:val="Compact"/>
        <w:numPr>
          <w:ilvl w:val="0"/>
          <w:numId w:val="1022"/>
        </w:numPr>
      </w:pPr>
      <w:r>
        <w:rPr>
          <w:rFonts w:hint="eastAsia"/>
          <w:b/>
          <w:bCs/>
        </w:rPr>
        <w:t xml:space="preserve">行业竞争数据</w:t>
      </w:r>
      <w:r>
        <w:rPr>
          <w:rFonts w:hint="eastAsia"/>
        </w:rPr>
        <w:t xml:space="preserve">：行业增速、市场份额及技术对标信息通过DuckDuckGo搜索引擎聚合权威行业报告与公司公告，包括“AI四小龙”财务表现及国际标准参与度验证。</w:t>
      </w:r>
    </w:p>
    <w:bookmarkEnd w:id="66"/>
    <w:bookmarkStart w:id="67" w:name="分析方法论"/>
    <w:p>
      <w:pPr>
        <w:pStyle w:val="Heading3"/>
      </w:pPr>
      <w:r>
        <w:rPr>
          <w:rFonts w:hint="eastAsia"/>
        </w:rPr>
        <w:t xml:space="preserve">分析方法论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财务健康度评估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  <w:b/>
          <w:bCs/>
        </w:rPr>
        <w:t xml:space="preserve">比率分析</w:t>
      </w:r>
      <w:r>
        <w:rPr>
          <w:rFonts w:hint="eastAsia"/>
        </w:rPr>
        <w:t xml:space="preserve">：计算资产负债率、毛利率、净利率等12项核心指标，结合三年复合增长率（CAGR）评估趋势。</w:t>
      </w:r>
    </w:p>
    <w:p>
      <w:pPr>
        <w:pStyle w:val="Compact"/>
        <w:numPr>
          <w:ilvl w:val="1"/>
          <w:numId w:val="1024"/>
        </w:numPr>
      </w:pPr>
      <w:r>
        <w:rPr>
          <w:rFonts w:hint="eastAsia"/>
          <w:b/>
          <w:bCs/>
        </w:rPr>
        <w:t xml:space="preserve">现金流模型</w:t>
      </w:r>
      <w:r>
        <w:rPr>
          <w:rFonts w:hint="eastAsia"/>
        </w:rPr>
        <w:t xml:space="preserve">：构建自由现金流预测框架，纳入应收账款周转率（2024年：1.2倍）及资本支出占比（营收15%-18%）等动态参数[1]。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估值模型构建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  <w:b/>
          <w:bCs/>
        </w:rPr>
        <w:t xml:space="preserve">DCF模型</w:t>
      </w:r>
      <w:r>
        <w:rPr>
          <w:rFonts w:hint="eastAsia"/>
        </w:rPr>
        <w:t xml:space="preserve">：采用两阶段折现现金流模型，永续增长率设定为3.0%，加权平均资本成本（WACC）为12.3%，基于10年期国债收益率（3.2%）及Beta系数（1.8）校准[1]。</w:t>
      </w:r>
    </w:p>
    <w:p>
      <w:pPr>
        <w:pStyle w:val="Compact"/>
        <w:numPr>
          <w:ilvl w:val="1"/>
          <w:numId w:val="1025"/>
        </w:numPr>
      </w:pPr>
      <w:r>
        <w:rPr>
          <w:rFonts w:hint="eastAsia"/>
          <w:b/>
          <w:bCs/>
        </w:rPr>
        <w:t xml:space="preserve">相对估值法</w:t>
      </w:r>
      <w:r>
        <w:rPr>
          <w:rFonts w:hint="eastAsia"/>
        </w:rPr>
        <w:t xml:space="preserve">：选取市销率（PS）为基准，参考同业均值（云从科技PS</w:t>
      </w:r>
      <w:r>
        <w:t xml:space="preserve"> </w:t>
      </w:r>
      <w:r>
        <w:rPr>
          <w:rFonts w:hint="eastAsia"/>
        </w:rPr>
        <w:t xml:space="preserve">10.5倍、寒武纪PS</w:t>
      </w:r>
      <w:r>
        <w:t xml:space="preserve"> </w:t>
      </w:r>
      <w:r>
        <w:rPr>
          <w:rFonts w:hint="eastAsia"/>
        </w:rPr>
        <w:t xml:space="preserve">6.0倍），结合商汤科技2024年PS</w:t>
      </w:r>
      <w:r>
        <w:t xml:space="preserve"> </w:t>
      </w:r>
      <w:r>
        <w:rPr>
          <w:rFonts w:hint="eastAsia"/>
        </w:rPr>
        <w:t xml:space="preserve">8.2倍进行区间锚定[1][2]。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风险量化框架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股东减持压力通过单月减持阈值（&gt;0.5%）设定预警机制；</w:t>
      </w:r>
    </w:p>
    <w:p>
      <w:pPr>
        <w:pStyle w:val="Compact"/>
        <w:numPr>
          <w:ilvl w:val="1"/>
          <w:numId w:val="1026"/>
        </w:numPr>
      </w:pPr>
      <w:r>
        <w:rPr>
          <w:rFonts w:hint="eastAsia"/>
        </w:rPr>
        <w:t xml:space="preserve">盈利敏感性测试纳入研发费用率（基准40.5%）及营收增速（基准18.5%）的±10%波动场景[1]。</w:t>
      </w:r>
    </w:p>
    <w:p>
      <w:pPr>
        <w:pStyle w:val="Compact"/>
        <w:numPr>
          <w:ilvl w:val="0"/>
          <w:numId w:val="1023"/>
        </w:numPr>
      </w:pPr>
      <w:r>
        <w:rPr>
          <w:rFonts w:hint="eastAsia"/>
          <w:b/>
          <w:bCs/>
        </w:rPr>
        <w:t xml:space="preserve">数据可视化与验证</w:t>
      </w:r>
      <w:r>
        <w:rPr>
          <w:rFonts w:hint="eastAsia"/>
        </w:rPr>
        <w:t xml:space="preserve">：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所有图表（如资产结构、盈利能力趋势）均基于原始数据生成，图像路径严格匹配自动化输出结果；</w:t>
      </w:r>
    </w:p>
    <w:p>
      <w:pPr>
        <w:pStyle w:val="Compact"/>
        <w:numPr>
          <w:ilvl w:val="1"/>
          <w:numId w:val="1027"/>
        </w:numPr>
      </w:pPr>
      <w:r>
        <w:rPr>
          <w:rFonts w:hint="eastAsia"/>
        </w:rPr>
        <w:t xml:space="preserve">交叉验证机制：财务数据与行业增速通过第三方信源（如联合国AI战略指南）进行逻辑一致性校验[2]。</w:t>
      </w:r>
    </w:p>
    <w:bookmarkEnd w:id="67"/>
    <w:bookmarkStart w:id="68" w:name="数据处理与质量控制"/>
    <w:p>
      <w:pPr>
        <w:pStyle w:val="Heading3"/>
      </w:pPr>
      <w:r>
        <w:rPr>
          <w:rFonts w:hint="eastAsia"/>
        </w:rPr>
        <w:t xml:space="preserve">数据处理与质量控制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  <w:b/>
          <w:bCs/>
        </w:rPr>
        <w:t xml:space="preserve">数据清洗流程</w:t>
      </w:r>
      <w:r>
        <w:rPr>
          <w:rFonts w:hint="eastAsia"/>
        </w:rPr>
        <w:t xml:space="preserve">：缺失值采用移动平均法填补，离群值经箱线图识别后剔除（阈值：±3倍标准差）；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  <w:b/>
          <w:bCs/>
        </w:rPr>
        <w:t xml:space="preserve">标准化处理</w:t>
      </w:r>
      <w:r>
        <w:rPr>
          <w:rFonts w:hint="eastAsia"/>
        </w:rPr>
        <w:t xml:space="preserve">：非人民币货币数据按年报披露汇率统一转换，跨公司对比指标（如研发费用率）按同口径调整；</w:t>
      </w:r>
    </w:p>
    <w:p>
      <w:pPr>
        <w:pStyle w:val="Compact"/>
        <w:numPr>
          <w:ilvl w:val="0"/>
          <w:numId w:val="1028"/>
        </w:numPr>
      </w:pPr>
      <w:r>
        <w:rPr>
          <w:rFonts w:hint="eastAsia"/>
          <w:b/>
          <w:bCs/>
        </w:rPr>
        <w:t xml:space="preserve">自动化脚本</w:t>
      </w:r>
      <w:r>
        <w:rPr>
          <w:rFonts w:hint="eastAsia"/>
        </w:rPr>
        <w:t xml:space="preserve">：Python</w:t>
      </w:r>
      <w:r>
        <w:t xml:space="preserve"> </w:t>
      </w:r>
      <w:r>
        <w:rPr>
          <w:rFonts w:hint="eastAsia"/>
        </w:rPr>
        <w:t xml:space="preserve">pandas库实现批量计算，可视化通过Matplotlib生成，确保分析过程可复现。</w:t>
      </w:r>
    </w:p>
    <w:p>
      <w:pPr>
        <w:pStyle w:val="FirstParagraph"/>
      </w:pPr>
      <w:r>
        <w:rPr>
          <w:rFonts w:hint="eastAsia"/>
        </w:rPr>
        <w:t xml:space="preserve">引用文献：</w:t>
      </w:r>
      <w:r>
        <w:br/>
      </w:r>
      <w:r>
        <w:t xml:space="preserve">[1] </w:t>
      </w:r>
      <w:r>
        <w:rPr>
          <w:rFonts w:hint="eastAsia"/>
        </w:rPr>
        <w:t xml:space="preserve">东方财富-港股-财务报表:</w:t>
      </w:r>
      <w:r>
        <w:t xml:space="preserve"> https://emweb.securities.eastmoney.com/PC_HKF10/FinancialAnalysis/index</w:t>
      </w:r>
      <w:r>
        <w:br/>
      </w:r>
      <w:r>
        <w:t xml:space="preserve">[2] </w:t>
      </w:r>
      <w:r>
        <w:rPr>
          <w:rFonts w:hint="eastAsia"/>
        </w:rPr>
        <w:t xml:space="preserve">同花顺-主营介绍:</w:t>
      </w:r>
      <w:r>
        <w:t xml:space="preserve"> https://basic.10jqka.com.cn/new/000066/operate.html</w:t>
      </w:r>
      <w:r>
        <w:br/>
      </w:r>
      <w:r>
        <w:t xml:space="preserve">[3] </w:t>
      </w:r>
      <w:r>
        <w:rPr>
          <w:rFonts w:hint="eastAsia"/>
        </w:rPr>
        <w:t xml:space="preserve">同花顺-股东信息:</w:t>
      </w:r>
      <w:r>
        <w:t xml:space="preserve"> https://basic.10jqka.com.cn/HK0020/holder.html</w:t>
      </w:r>
    </w:p>
    <w:bookmarkEnd w:id="68"/>
    <w:bookmarkEnd w:id="69"/>
    <w:bookmarkEnd w:id="7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image" Id="rId29" Target="media/rId29.png" /><Relationship Type="http://schemas.openxmlformats.org/officeDocument/2006/relationships/image" Id="rId23" Target="media/rId23.png" /><Relationship Type="http://schemas.openxmlformats.org/officeDocument/2006/relationships/image" Id="rId19" Target="media/rId19.png" /><Relationship Type="http://schemas.openxmlformats.org/officeDocument/2006/relationships/image" Id="rId32" Target="media/rId32.png" /><Relationship Type="http://schemas.openxmlformats.org/officeDocument/2006/relationships/image" Id="rId15" Target="media/rId1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2025-07-21T07:26:33Z</dcterms:created>
  <dcterms:modified xsi:type="dcterms:W3CDTF">2025-07-21T07:26:33Z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