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7352E" w14:textId="77777777" w:rsidR="00494188" w:rsidRPr="00494188" w:rsidRDefault="00494188" w:rsidP="00494188">
      <w:pPr>
        <w:pStyle w:val="Ttulo1"/>
        <w:spacing w:before="75" w:line="261" w:lineRule="auto"/>
        <w:jc w:val="center"/>
        <w:rPr>
          <w:rFonts w:ascii="Times New Roman" w:hAnsi="Times New Roman" w:cs="Times New Roman"/>
          <w:b/>
          <w:bCs/>
          <w:color w:val="auto"/>
          <w:sz w:val="24"/>
          <w:szCs w:val="24"/>
        </w:rPr>
      </w:pPr>
      <w:r w:rsidRPr="00494188">
        <w:rPr>
          <w:rFonts w:ascii="Times New Roman" w:hAnsi="Times New Roman" w:cs="Times New Roman"/>
          <w:b/>
          <w:bCs/>
          <w:color w:val="auto"/>
          <w:sz w:val="24"/>
          <w:szCs w:val="24"/>
        </w:rPr>
        <w:t>PROCEDIMIENTO PARA LA RECUPERACIÓN DE</w:t>
      </w:r>
    </w:p>
    <w:p w14:paraId="44923BAA" w14:textId="14A31AEB" w:rsidR="00105C17" w:rsidRDefault="00494188" w:rsidP="00494188">
      <w:pPr>
        <w:pStyle w:val="Ttulo1"/>
        <w:spacing w:before="75" w:line="261" w:lineRule="auto"/>
        <w:jc w:val="center"/>
        <w:rPr>
          <w:rFonts w:ascii="Times New Roman" w:hAnsi="Times New Roman" w:cs="Times New Roman"/>
          <w:b/>
          <w:bCs/>
          <w:color w:val="auto"/>
          <w:spacing w:val="-2"/>
          <w:sz w:val="24"/>
          <w:szCs w:val="24"/>
        </w:rPr>
      </w:pPr>
      <w:r w:rsidRPr="00494188">
        <w:rPr>
          <w:rFonts w:ascii="Times New Roman" w:hAnsi="Times New Roman" w:cs="Times New Roman"/>
          <w:b/>
          <w:bCs/>
          <w:color w:val="auto"/>
          <w:sz w:val="24"/>
          <w:szCs w:val="24"/>
        </w:rPr>
        <w:t>SALDOS A FAVOR DE IV</w:t>
      </w:r>
      <w:r w:rsidR="00D96372" w:rsidRPr="00494188">
        <w:rPr>
          <w:rFonts w:ascii="Times New Roman" w:hAnsi="Times New Roman" w:cs="Times New Roman"/>
          <w:b/>
          <w:bCs/>
          <w:color w:val="auto"/>
          <w:spacing w:val="-2"/>
          <w:sz w:val="24"/>
          <w:szCs w:val="24"/>
        </w:rPr>
        <w:t>A</w:t>
      </w:r>
    </w:p>
    <w:p w14:paraId="7F490A88" w14:textId="77777777" w:rsidR="00494188" w:rsidRPr="00494188" w:rsidRDefault="00494188" w:rsidP="00494188"/>
    <w:p w14:paraId="0AF6A9FD" w14:textId="77777777" w:rsidR="00494188" w:rsidRPr="00494188" w:rsidRDefault="00494188" w:rsidP="00494188">
      <w:pPr>
        <w:snapToGrid w:val="0"/>
        <w:spacing w:after="240" w:line="360" w:lineRule="auto"/>
        <w:jc w:val="both"/>
        <w:rPr>
          <w:rFonts w:ascii="Times New Roman" w:hAnsi="Times New Roman" w:cs="Times New Roman"/>
          <w:lang w:val="es-ES"/>
        </w:rPr>
      </w:pPr>
      <w:r w:rsidRPr="00494188">
        <w:rPr>
          <w:rFonts w:ascii="Times New Roman" w:hAnsi="Times New Roman" w:cs="Times New Roman"/>
          <w:lang w:val="es-ES"/>
        </w:rPr>
        <w:t>La recuperación de saldos a favor de IVA requiere mucho más que la simple presentación de una solicitud ante la autoridad fiscal. En la práctica, se trata de un procedimiento técnico que demanda una revisión integral de la información fiscal, contable y documental del contribuyente, así como una estrategia adecuada para sustentar de manera sólida la procedencia del saldo reclamado.</w:t>
      </w:r>
    </w:p>
    <w:p w14:paraId="33E409BB" w14:textId="77777777" w:rsidR="00494188" w:rsidRPr="00494188" w:rsidRDefault="00494188" w:rsidP="00494188">
      <w:pPr>
        <w:snapToGrid w:val="0"/>
        <w:spacing w:after="240" w:line="360" w:lineRule="auto"/>
        <w:jc w:val="both"/>
        <w:rPr>
          <w:rFonts w:ascii="Times New Roman" w:hAnsi="Times New Roman" w:cs="Times New Roman"/>
          <w:lang w:val="es-ES"/>
        </w:rPr>
      </w:pPr>
      <w:r w:rsidRPr="00494188">
        <w:rPr>
          <w:rFonts w:ascii="Times New Roman" w:hAnsi="Times New Roman" w:cs="Times New Roman"/>
          <w:lang w:val="es-ES"/>
        </w:rPr>
        <w:t>Nuestro enfoque parte de una evaluación preventiva del origen del saldo a favor y de la consistencia entre declaraciones, DIOT, CFDI, estados de cuenta y demás documentación soporte. La experiencia demuestra que una solicitud correctamente estructurada desde el inicio reduce significativamente contingencias, requerimientos adicionales y tiempos de respuesta por parte del SAT. Por ello, el procedimiento no debe entenderse únicamente como un trámite administrativo, sino como un proceso de validación y defensa técnica de la posición fiscal del contribuyente.</w:t>
      </w:r>
    </w:p>
    <w:p w14:paraId="4E5614F6" w14:textId="77777777" w:rsidR="00494188" w:rsidRPr="00494188" w:rsidRDefault="00494188" w:rsidP="00494188">
      <w:pPr>
        <w:snapToGrid w:val="0"/>
        <w:spacing w:after="240" w:line="360" w:lineRule="auto"/>
        <w:jc w:val="both"/>
        <w:rPr>
          <w:rFonts w:ascii="Times New Roman" w:hAnsi="Times New Roman" w:cs="Times New Roman"/>
          <w:lang w:val="es-ES"/>
        </w:rPr>
      </w:pPr>
      <w:r w:rsidRPr="00494188">
        <w:rPr>
          <w:rFonts w:ascii="Times New Roman" w:hAnsi="Times New Roman" w:cs="Times New Roman"/>
          <w:lang w:val="es-ES"/>
        </w:rPr>
        <w:t>En términos generales, el procedimiento comprende la revisión de la declaración mensual correspondiente, la integración del IVA acreditable, el análisis de los comprobantes fiscales y medios de pago, así como la preparación de papeles de trabajo que permitan explicar de manera clara la determinación del saldo a favor. Posteriormente, se elabora y presenta la solicitud electrónica de devolución ante el SAT, adjuntando la documentación soporte necesaria y atendiendo los requisitos formales establecidos por la autoridad.</w:t>
      </w:r>
    </w:p>
    <w:p w14:paraId="576F0CE3" w14:textId="77777777" w:rsidR="00494188" w:rsidRPr="00494188" w:rsidRDefault="00494188" w:rsidP="00494188">
      <w:pPr>
        <w:snapToGrid w:val="0"/>
        <w:spacing w:after="240" w:line="360" w:lineRule="auto"/>
        <w:jc w:val="both"/>
        <w:rPr>
          <w:rFonts w:ascii="Times New Roman" w:hAnsi="Times New Roman" w:cs="Times New Roman"/>
          <w:lang w:val="es-ES"/>
        </w:rPr>
      </w:pPr>
      <w:r w:rsidRPr="00494188">
        <w:rPr>
          <w:rFonts w:ascii="Times New Roman" w:hAnsi="Times New Roman" w:cs="Times New Roman"/>
          <w:lang w:val="es-ES"/>
        </w:rPr>
        <w:t>No obstante, uno de los aspectos más relevantes del proceso ocurre después de presentada la solicitud. Actualmente, la autoridad fiscal realiza revisiones cada vez más exhaustivas y frecuentemente emite requerimientos de información adicional relacionados con materialidad de operaciones, trazabilidad de pagos, conciliaciones contables y validación de proveedores. En este contexto, resulta indispensable contar con una estrategia de seguimiento y atención oportuna que permita sostener la procedencia de la devolución y mitigar riesgos de rechazo parcial o total.</w:t>
      </w:r>
    </w:p>
    <w:p w14:paraId="5A4E5367" w14:textId="77777777" w:rsidR="00494188" w:rsidRPr="00494188" w:rsidRDefault="00494188" w:rsidP="00494188">
      <w:pPr>
        <w:snapToGrid w:val="0"/>
        <w:spacing w:after="240" w:line="360" w:lineRule="auto"/>
        <w:jc w:val="both"/>
        <w:rPr>
          <w:rFonts w:ascii="Times New Roman" w:hAnsi="Times New Roman" w:cs="Times New Roman"/>
          <w:lang w:val="es-ES"/>
        </w:rPr>
      </w:pPr>
      <w:r w:rsidRPr="00494188">
        <w:rPr>
          <w:rFonts w:ascii="Times New Roman" w:hAnsi="Times New Roman" w:cs="Times New Roman"/>
          <w:lang w:val="es-ES"/>
        </w:rPr>
        <w:t xml:space="preserve">Nuestra firma cuenta con experiencia en la estructuración, presentación y seguimiento de procedimientos de devolución de IVA para empresas nacionales e internacionales de diversos sectores. El servicio que ofrecemos combina análisis técnico, visión estratégica y acompañamiento </w:t>
      </w:r>
      <w:r w:rsidRPr="00494188">
        <w:rPr>
          <w:rFonts w:ascii="Times New Roman" w:hAnsi="Times New Roman" w:cs="Times New Roman"/>
          <w:lang w:val="es-ES"/>
        </w:rPr>
        <w:lastRenderedPageBreak/>
        <w:t>integral durante todas las etapas del procedimiento, con el objetivo de maximizar la probabilidad de recuperación efectiva del saldo a favor y reducir tiempos de resolución.</w:t>
      </w:r>
    </w:p>
    <w:p w14:paraId="09E288B0" w14:textId="77777777" w:rsidR="00494188" w:rsidRPr="00494188" w:rsidRDefault="00494188" w:rsidP="00494188">
      <w:pPr>
        <w:snapToGrid w:val="0"/>
        <w:spacing w:after="240" w:line="360" w:lineRule="auto"/>
        <w:jc w:val="both"/>
        <w:rPr>
          <w:rFonts w:ascii="Times New Roman" w:hAnsi="Times New Roman" w:cs="Times New Roman"/>
          <w:lang w:val="es-ES"/>
        </w:rPr>
      </w:pPr>
      <w:r w:rsidRPr="00494188">
        <w:rPr>
          <w:rFonts w:ascii="Times New Roman" w:hAnsi="Times New Roman" w:cs="Times New Roman"/>
          <w:lang w:val="es-ES"/>
        </w:rPr>
        <w:t>Entendemos que nuestros clientes buscan no sólo cumplimiento, sino certeza, eficiencia y capacidad de respuesta frente a una autoridad fiscal cada vez más sofisticada. Por ello, nuestro acompañamiento se enfoca en anticipar observaciones, fortalecer la posición documental del contribuyente y conducir el procedimiento con el nivel de rigor técnico que este tipo de asuntos requiere.</w:t>
      </w:r>
    </w:p>
    <w:p w14:paraId="014630B4" w14:textId="77777777" w:rsidR="00D96372" w:rsidRPr="00494188" w:rsidRDefault="00D96372" w:rsidP="00DE5113">
      <w:pPr>
        <w:snapToGrid w:val="0"/>
        <w:spacing w:after="240" w:line="360" w:lineRule="auto"/>
        <w:jc w:val="both"/>
        <w:rPr>
          <w:rFonts w:ascii="Times New Roman" w:hAnsi="Times New Roman" w:cs="Times New Roman"/>
          <w:b/>
          <w:bCs/>
          <w:lang w:val="es-ES"/>
        </w:rPr>
      </w:pPr>
    </w:p>
    <w:sectPr w:rsidR="00D96372" w:rsidRPr="00494188">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6E7B1" w14:textId="77777777" w:rsidR="00B20203" w:rsidRDefault="00B20203" w:rsidP="001D7F5B">
      <w:pPr>
        <w:spacing w:after="0" w:line="240" w:lineRule="auto"/>
      </w:pPr>
      <w:r>
        <w:separator/>
      </w:r>
    </w:p>
  </w:endnote>
  <w:endnote w:type="continuationSeparator" w:id="0">
    <w:p w14:paraId="31AEE9DA" w14:textId="77777777" w:rsidR="00B20203" w:rsidRDefault="00B20203" w:rsidP="001D7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076588413"/>
      <w:docPartObj>
        <w:docPartGallery w:val="Page Numbers (Bottom of Page)"/>
        <w:docPartUnique/>
      </w:docPartObj>
    </w:sdtPr>
    <w:sdtContent>
      <w:sdt>
        <w:sdtPr>
          <w:rPr>
            <w:rFonts w:ascii="Times New Roman" w:hAnsi="Times New Roman" w:cs="Times New Roman"/>
            <w:sz w:val="20"/>
            <w:szCs w:val="20"/>
          </w:rPr>
          <w:id w:val="1728636285"/>
          <w:docPartObj>
            <w:docPartGallery w:val="Page Numbers (Top of Page)"/>
            <w:docPartUnique/>
          </w:docPartObj>
        </w:sdtPr>
        <w:sdtContent>
          <w:p w14:paraId="7235AB39" w14:textId="025A5E92" w:rsidR="00D96372" w:rsidRPr="00D96372" w:rsidRDefault="00D96372">
            <w:pPr>
              <w:pStyle w:val="Piedepgina"/>
              <w:jc w:val="center"/>
              <w:rPr>
                <w:rFonts w:ascii="Times New Roman" w:hAnsi="Times New Roman" w:cs="Times New Roman"/>
                <w:sz w:val="20"/>
                <w:szCs w:val="20"/>
              </w:rPr>
            </w:pPr>
            <w:r w:rsidRPr="00D96372">
              <w:rPr>
                <w:rFonts w:ascii="Times New Roman" w:hAnsi="Times New Roman" w:cs="Times New Roman"/>
                <w:sz w:val="20"/>
                <w:szCs w:val="20"/>
                <w:lang w:val="es-ES"/>
              </w:rPr>
              <w:t xml:space="preserve">Página </w:t>
            </w:r>
            <w:r w:rsidRPr="00D96372">
              <w:rPr>
                <w:rFonts w:ascii="Times New Roman" w:hAnsi="Times New Roman" w:cs="Times New Roman"/>
                <w:sz w:val="20"/>
                <w:szCs w:val="20"/>
              </w:rPr>
              <w:fldChar w:fldCharType="begin"/>
            </w:r>
            <w:r w:rsidRPr="00D96372">
              <w:rPr>
                <w:rFonts w:ascii="Times New Roman" w:hAnsi="Times New Roman" w:cs="Times New Roman"/>
                <w:sz w:val="20"/>
                <w:szCs w:val="20"/>
              </w:rPr>
              <w:instrText>PAGE</w:instrText>
            </w:r>
            <w:r w:rsidRPr="00D96372">
              <w:rPr>
                <w:rFonts w:ascii="Times New Roman" w:hAnsi="Times New Roman" w:cs="Times New Roman"/>
                <w:sz w:val="20"/>
                <w:szCs w:val="20"/>
              </w:rPr>
              <w:fldChar w:fldCharType="separate"/>
            </w:r>
            <w:r w:rsidRPr="00D96372">
              <w:rPr>
                <w:rFonts w:ascii="Times New Roman" w:hAnsi="Times New Roman" w:cs="Times New Roman"/>
                <w:sz w:val="20"/>
                <w:szCs w:val="20"/>
                <w:lang w:val="es-ES"/>
              </w:rPr>
              <w:t>2</w:t>
            </w:r>
            <w:r w:rsidRPr="00D96372">
              <w:rPr>
                <w:rFonts w:ascii="Times New Roman" w:hAnsi="Times New Roman" w:cs="Times New Roman"/>
                <w:sz w:val="20"/>
                <w:szCs w:val="20"/>
              </w:rPr>
              <w:fldChar w:fldCharType="end"/>
            </w:r>
            <w:r w:rsidRPr="00D96372">
              <w:rPr>
                <w:rFonts w:ascii="Times New Roman" w:hAnsi="Times New Roman" w:cs="Times New Roman"/>
                <w:sz w:val="20"/>
                <w:szCs w:val="20"/>
                <w:lang w:val="es-ES"/>
              </w:rPr>
              <w:t xml:space="preserve"> de </w:t>
            </w:r>
            <w:r w:rsidRPr="00D96372">
              <w:rPr>
                <w:rFonts w:ascii="Times New Roman" w:hAnsi="Times New Roman" w:cs="Times New Roman"/>
                <w:sz w:val="20"/>
                <w:szCs w:val="20"/>
              </w:rPr>
              <w:fldChar w:fldCharType="begin"/>
            </w:r>
            <w:r w:rsidRPr="00D96372">
              <w:rPr>
                <w:rFonts w:ascii="Times New Roman" w:hAnsi="Times New Roman" w:cs="Times New Roman"/>
                <w:sz w:val="20"/>
                <w:szCs w:val="20"/>
              </w:rPr>
              <w:instrText>NUMPAGES</w:instrText>
            </w:r>
            <w:r w:rsidRPr="00D96372">
              <w:rPr>
                <w:rFonts w:ascii="Times New Roman" w:hAnsi="Times New Roman" w:cs="Times New Roman"/>
                <w:sz w:val="20"/>
                <w:szCs w:val="20"/>
              </w:rPr>
              <w:fldChar w:fldCharType="separate"/>
            </w:r>
            <w:r w:rsidRPr="00D96372">
              <w:rPr>
                <w:rFonts w:ascii="Times New Roman" w:hAnsi="Times New Roman" w:cs="Times New Roman"/>
                <w:sz w:val="20"/>
                <w:szCs w:val="20"/>
                <w:lang w:val="es-ES"/>
              </w:rPr>
              <w:t>2</w:t>
            </w:r>
            <w:r w:rsidRPr="00D96372">
              <w:rPr>
                <w:rFonts w:ascii="Times New Roman" w:hAnsi="Times New Roman" w:cs="Times New Roman"/>
                <w:sz w:val="20"/>
                <w:szCs w:val="20"/>
              </w:rPr>
              <w:fldChar w:fldCharType="end"/>
            </w:r>
          </w:p>
        </w:sdtContent>
      </w:sdt>
    </w:sdtContent>
  </w:sdt>
  <w:p w14:paraId="07820AEF" w14:textId="77777777" w:rsidR="00D96372" w:rsidRDefault="00D963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68645" w14:textId="77777777" w:rsidR="00B20203" w:rsidRDefault="00B20203" w:rsidP="001D7F5B">
      <w:pPr>
        <w:spacing w:after="0" w:line="240" w:lineRule="auto"/>
      </w:pPr>
      <w:r>
        <w:separator/>
      </w:r>
    </w:p>
  </w:footnote>
  <w:footnote w:type="continuationSeparator" w:id="0">
    <w:p w14:paraId="027A7114" w14:textId="77777777" w:rsidR="00B20203" w:rsidRDefault="00B20203" w:rsidP="001D7F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CCF6" w14:textId="64213D11" w:rsidR="001D7F5B" w:rsidRDefault="001D7F5B">
    <w:pPr>
      <w:pStyle w:val="Encabezado"/>
    </w:pPr>
    <w:r>
      <w:rPr>
        <w:noProof/>
      </w:rPr>
      <w:drawing>
        <wp:anchor distT="0" distB="0" distL="114300" distR="114300" simplePos="0" relativeHeight="251658240" behindDoc="1" locked="0" layoutInCell="1" allowOverlap="1" wp14:anchorId="6A309395" wp14:editId="4544E051">
          <wp:simplePos x="0" y="0"/>
          <wp:positionH relativeFrom="column">
            <wp:posOffset>-926275</wp:posOffset>
          </wp:positionH>
          <wp:positionV relativeFrom="paragraph">
            <wp:posOffset>-461431</wp:posOffset>
          </wp:positionV>
          <wp:extent cx="7778845" cy="10066740"/>
          <wp:effectExtent l="0" t="0" r="6350" b="4445"/>
          <wp:wrapNone/>
          <wp:docPr id="186426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6786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78845" cy="100667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47749"/>
    <w:multiLevelType w:val="hybridMultilevel"/>
    <w:tmpl w:val="B666FE0A"/>
    <w:lvl w:ilvl="0" w:tplc="6B8EBED6">
      <w:start w:val="2"/>
      <w:numFmt w:val="upperRoman"/>
      <w:lvlText w:val="%1."/>
      <w:lvlJc w:val="left"/>
      <w:pPr>
        <w:ind w:left="3001" w:hanging="307"/>
      </w:pPr>
      <w:rPr>
        <w:rFonts w:ascii="Times New Roman" w:eastAsia="Times New Roman" w:hAnsi="Times New Roman" w:cs="Times New Roman" w:hint="default"/>
        <w:b/>
        <w:bCs/>
        <w:i w:val="0"/>
        <w:iCs w:val="0"/>
        <w:spacing w:val="0"/>
        <w:w w:val="100"/>
        <w:sz w:val="24"/>
        <w:szCs w:val="24"/>
        <w:lang w:val="es-ES" w:eastAsia="en-US" w:bidi="ar-SA"/>
      </w:rPr>
    </w:lvl>
    <w:lvl w:ilvl="1" w:tplc="A2EA6F5A">
      <w:start w:val="1"/>
      <w:numFmt w:val="lowerRoman"/>
      <w:lvlText w:val="%2."/>
      <w:lvlJc w:val="left"/>
      <w:pPr>
        <w:ind w:left="448" w:hanging="187"/>
      </w:pPr>
      <w:rPr>
        <w:rFonts w:ascii="Times New Roman" w:eastAsia="Times New Roman" w:hAnsi="Times New Roman" w:cs="Times New Roman" w:hint="default"/>
        <w:b/>
        <w:bCs/>
        <w:i w:val="0"/>
        <w:iCs w:val="0"/>
        <w:spacing w:val="0"/>
        <w:w w:val="100"/>
        <w:sz w:val="24"/>
        <w:szCs w:val="24"/>
        <w:lang w:val="es-ES" w:eastAsia="en-US" w:bidi="ar-SA"/>
      </w:rPr>
    </w:lvl>
    <w:lvl w:ilvl="2" w:tplc="5B506FE2">
      <w:numFmt w:val="bullet"/>
      <w:lvlText w:val="•"/>
      <w:lvlJc w:val="left"/>
      <w:pPr>
        <w:ind w:left="1537" w:hanging="187"/>
      </w:pPr>
      <w:rPr>
        <w:rFonts w:hint="default"/>
        <w:lang w:val="es-ES" w:eastAsia="en-US" w:bidi="ar-SA"/>
      </w:rPr>
    </w:lvl>
    <w:lvl w:ilvl="3" w:tplc="C4603F74">
      <w:numFmt w:val="bullet"/>
      <w:lvlText w:val="•"/>
      <w:lvlJc w:val="left"/>
      <w:pPr>
        <w:ind w:left="2515" w:hanging="187"/>
      </w:pPr>
      <w:rPr>
        <w:rFonts w:hint="default"/>
        <w:lang w:val="es-ES" w:eastAsia="en-US" w:bidi="ar-SA"/>
      </w:rPr>
    </w:lvl>
    <w:lvl w:ilvl="4" w:tplc="C38A195E">
      <w:numFmt w:val="bullet"/>
      <w:lvlText w:val="•"/>
      <w:lvlJc w:val="left"/>
      <w:pPr>
        <w:ind w:left="3493" w:hanging="187"/>
      </w:pPr>
      <w:rPr>
        <w:rFonts w:hint="default"/>
        <w:lang w:val="es-ES" w:eastAsia="en-US" w:bidi="ar-SA"/>
      </w:rPr>
    </w:lvl>
    <w:lvl w:ilvl="5" w:tplc="AEB28090">
      <w:numFmt w:val="bullet"/>
      <w:lvlText w:val="•"/>
      <w:lvlJc w:val="left"/>
      <w:pPr>
        <w:ind w:left="4471" w:hanging="187"/>
      </w:pPr>
      <w:rPr>
        <w:rFonts w:hint="default"/>
        <w:lang w:val="es-ES" w:eastAsia="en-US" w:bidi="ar-SA"/>
      </w:rPr>
    </w:lvl>
    <w:lvl w:ilvl="6" w:tplc="9FAAB5B2">
      <w:numFmt w:val="bullet"/>
      <w:lvlText w:val="•"/>
      <w:lvlJc w:val="left"/>
      <w:pPr>
        <w:ind w:left="5448" w:hanging="187"/>
      </w:pPr>
      <w:rPr>
        <w:rFonts w:hint="default"/>
        <w:lang w:val="es-ES" w:eastAsia="en-US" w:bidi="ar-SA"/>
      </w:rPr>
    </w:lvl>
    <w:lvl w:ilvl="7" w:tplc="10F61E46">
      <w:numFmt w:val="bullet"/>
      <w:lvlText w:val="•"/>
      <w:lvlJc w:val="left"/>
      <w:pPr>
        <w:ind w:left="6426" w:hanging="187"/>
      </w:pPr>
      <w:rPr>
        <w:rFonts w:hint="default"/>
        <w:lang w:val="es-ES" w:eastAsia="en-US" w:bidi="ar-SA"/>
      </w:rPr>
    </w:lvl>
    <w:lvl w:ilvl="8" w:tplc="A7389140">
      <w:numFmt w:val="bullet"/>
      <w:lvlText w:val="•"/>
      <w:lvlJc w:val="left"/>
      <w:pPr>
        <w:ind w:left="7404" w:hanging="187"/>
      </w:pPr>
      <w:rPr>
        <w:rFonts w:hint="default"/>
        <w:lang w:val="es-ES" w:eastAsia="en-US" w:bidi="ar-SA"/>
      </w:rPr>
    </w:lvl>
  </w:abstractNum>
  <w:abstractNum w:abstractNumId="1" w15:restartNumberingAfterBreak="0">
    <w:nsid w:val="76DD4963"/>
    <w:multiLevelType w:val="hybridMultilevel"/>
    <w:tmpl w:val="20E666E6"/>
    <w:lvl w:ilvl="0" w:tplc="F5289F60">
      <w:start w:val="1"/>
      <w:numFmt w:val="upperRoman"/>
      <w:lvlText w:val="%1."/>
      <w:lvlJc w:val="left"/>
      <w:pPr>
        <w:ind w:left="502" w:hanging="240"/>
      </w:pPr>
      <w:rPr>
        <w:rFonts w:ascii="Times New Roman" w:eastAsiaTheme="majorEastAsia" w:hAnsi="Times New Roman" w:cs="Times New Roman"/>
        <w:b/>
        <w:bCs/>
        <w:i w:val="0"/>
        <w:iCs w:val="0"/>
        <w:spacing w:val="0"/>
        <w:w w:val="100"/>
        <w:sz w:val="24"/>
        <w:szCs w:val="24"/>
        <w:lang w:val="es-ES" w:eastAsia="en-US" w:bidi="ar-SA"/>
      </w:rPr>
    </w:lvl>
    <w:lvl w:ilvl="1" w:tplc="605C2402">
      <w:start w:val="1"/>
      <w:numFmt w:val="lowerRoman"/>
      <w:lvlText w:val="%2."/>
      <w:lvlJc w:val="left"/>
      <w:pPr>
        <w:ind w:left="434" w:hanging="173"/>
      </w:pPr>
      <w:rPr>
        <w:rFonts w:ascii="Times New Roman" w:eastAsia="Times New Roman" w:hAnsi="Times New Roman" w:cs="Times New Roman" w:hint="default"/>
        <w:b/>
        <w:bCs/>
        <w:i w:val="0"/>
        <w:iCs w:val="0"/>
        <w:spacing w:val="0"/>
        <w:w w:val="100"/>
        <w:sz w:val="24"/>
        <w:szCs w:val="24"/>
        <w:lang w:val="es-ES" w:eastAsia="en-US" w:bidi="ar-SA"/>
      </w:rPr>
    </w:lvl>
    <w:lvl w:ilvl="2" w:tplc="E286AE6E">
      <w:numFmt w:val="bullet"/>
      <w:lvlText w:val="•"/>
      <w:lvlJc w:val="left"/>
      <w:pPr>
        <w:ind w:left="1484" w:hanging="173"/>
      </w:pPr>
      <w:rPr>
        <w:rFonts w:hint="default"/>
        <w:lang w:val="es-ES" w:eastAsia="en-US" w:bidi="ar-SA"/>
      </w:rPr>
    </w:lvl>
    <w:lvl w:ilvl="3" w:tplc="37A64A26">
      <w:numFmt w:val="bullet"/>
      <w:lvlText w:val="•"/>
      <w:lvlJc w:val="left"/>
      <w:pPr>
        <w:ind w:left="2468" w:hanging="173"/>
      </w:pPr>
      <w:rPr>
        <w:rFonts w:hint="default"/>
        <w:lang w:val="es-ES" w:eastAsia="en-US" w:bidi="ar-SA"/>
      </w:rPr>
    </w:lvl>
    <w:lvl w:ilvl="4" w:tplc="F9A005EA">
      <w:numFmt w:val="bullet"/>
      <w:lvlText w:val="•"/>
      <w:lvlJc w:val="left"/>
      <w:pPr>
        <w:ind w:left="3453" w:hanging="173"/>
      </w:pPr>
      <w:rPr>
        <w:rFonts w:hint="default"/>
        <w:lang w:val="es-ES" w:eastAsia="en-US" w:bidi="ar-SA"/>
      </w:rPr>
    </w:lvl>
    <w:lvl w:ilvl="5" w:tplc="5620737C">
      <w:numFmt w:val="bullet"/>
      <w:lvlText w:val="•"/>
      <w:lvlJc w:val="left"/>
      <w:pPr>
        <w:ind w:left="4437" w:hanging="173"/>
      </w:pPr>
      <w:rPr>
        <w:rFonts w:hint="default"/>
        <w:lang w:val="es-ES" w:eastAsia="en-US" w:bidi="ar-SA"/>
      </w:rPr>
    </w:lvl>
    <w:lvl w:ilvl="6" w:tplc="DEAE59B8">
      <w:numFmt w:val="bullet"/>
      <w:lvlText w:val="•"/>
      <w:lvlJc w:val="left"/>
      <w:pPr>
        <w:ind w:left="5422" w:hanging="173"/>
      </w:pPr>
      <w:rPr>
        <w:rFonts w:hint="default"/>
        <w:lang w:val="es-ES" w:eastAsia="en-US" w:bidi="ar-SA"/>
      </w:rPr>
    </w:lvl>
    <w:lvl w:ilvl="7" w:tplc="7D606E28">
      <w:numFmt w:val="bullet"/>
      <w:lvlText w:val="•"/>
      <w:lvlJc w:val="left"/>
      <w:pPr>
        <w:ind w:left="6406" w:hanging="173"/>
      </w:pPr>
      <w:rPr>
        <w:rFonts w:hint="default"/>
        <w:lang w:val="es-ES" w:eastAsia="en-US" w:bidi="ar-SA"/>
      </w:rPr>
    </w:lvl>
    <w:lvl w:ilvl="8" w:tplc="5C3A8DDC">
      <w:numFmt w:val="bullet"/>
      <w:lvlText w:val="•"/>
      <w:lvlJc w:val="left"/>
      <w:pPr>
        <w:ind w:left="7391" w:hanging="173"/>
      </w:pPr>
      <w:rPr>
        <w:rFonts w:hint="default"/>
        <w:lang w:val="es-ES" w:eastAsia="en-US" w:bidi="ar-SA"/>
      </w:rPr>
    </w:lvl>
  </w:abstractNum>
  <w:num w:numId="1" w16cid:durableId="1474639138">
    <w:abstractNumId w:val="0"/>
  </w:num>
  <w:num w:numId="2" w16cid:durableId="2120946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F5B"/>
    <w:rsid w:val="00031FAF"/>
    <w:rsid w:val="00105C17"/>
    <w:rsid w:val="001D7F5B"/>
    <w:rsid w:val="0024039F"/>
    <w:rsid w:val="00296B7B"/>
    <w:rsid w:val="002E1B3A"/>
    <w:rsid w:val="00494188"/>
    <w:rsid w:val="00816FB1"/>
    <w:rsid w:val="009938B5"/>
    <w:rsid w:val="00A17B43"/>
    <w:rsid w:val="00B1480F"/>
    <w:rsid w:val="00B20203"/>
    <w:rsid w:val="00B80721"/>
    <w:rsid w:val="00C85B79"/>
    <w:rsid w:val="00D96372"/>
    <w:rsid w:val="00DA09AC"/>
    <w:rsid w:val="00DE5113"/>
    <w:rsid w:val="00EE616C"/>
    <w:rsid w:val="00EF401E"/>
    <w:rsid w:val="00FD2C05"/>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E02D2"/>
  <w15:chartTrackingRefBased/>
  <w15:docId w15:val="{099273DA-DF33-7C4A-A210-8A08B5CE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7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D7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7F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7F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7F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7F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7F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7F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7F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7F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D7F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7F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7F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7F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7F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7F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7F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7F5B"/>
    <w:rPr>
      <w:rFonts w:eastAsiaTheme="majorEastAsia" w:cstheme="majorBidi"/>
      <w:color w:val="272727" w:themeColor="text1" w:themeTint="D8"/>
    </w:rPr>
  </w:style>
  <w:style w:type="paragraph" w:styleId="Ttulo">
    <w:name w:val="Title"/>
    <w:basedOn w:val="Normal"/>
    <w:next w:val="Normal"/>
    <w:link w:val="TtuloCar"/>
    <w:uiPriority w:val="10"/>
    <w:qFormat/>
    <w:rsid w:val="001D7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7F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7F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7F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7F5B"/>
    <w:pPr>
      <w:spacing w:before="160"/>
      <w:jc w:val="center"/>
    </w:pPr>
    <w:rPr>
      <w:i/>
      <w:iCs/>
      <w:color w:val="404040" w:themeColor="text1" w:themeTint="BF"/>
    </w:rPr>
  </w:style>
  <w:style w:type="character" w:customStyle="1" w:styleId="CitaCar">
    <w:name w:val="Cita Car"/>
    <w:basedOn w:val="Fuentedeprrafopredeter"/>
    <w:link w:val="Cita"/>
    <w:uiPriority w:val="29"/>
    <w:rsid w:val="001D7F5B"/>
    <w:rPr>
      <w:i/>
      <w:iCs/>
      <w:color w:val="404040" w:themeColor="text1" w:themeTint="BF"/>
    </w:rPr>
  </w:style>
  <w:style w:type="paragraph" w:styleId="Prrafodelista">
    <w:name w:val="List Paragraph"/>
    <w:basedOn w:val="Normal"/>
    <w:uiPriority w:val="34"/>
    <w:qFormat/>
    <w:rsid w:val="001D7F5B"/>
    <w:pPr>
      <w:ind w:left="720"/>
      <w:contextualSpacing/>
    </w:pPr>
  </w:style>
  <w:style w:type="character" w:styleId="nfasisintenso">
    <w:name w:val="Intense Emphasis"/>
    <w:basedOn w:val="Fuentedeprrafopredeter"/>
    <w:uiPriority w:val="21"/>
    <w:qFormat/>
    <w:rsid w:val="001D7F5B"/>
    <w:rPr>
      <w:i/>
      <w:iCs/>
      <w:color w:val="0F4761" w:themeColor="accent1" w:themeShade="BF"/>
    </w:rPr>
  </w:style>
  <w:style w:type="paragraph" w:styleId="Citadestacada">
    <w:name w:val="Intense Quote"/>
    <w:basedOn w:val="Normal"/>
    <w:next w:val="Normal"/>
    <w:link w:val="CitadestacadaCar"/>
    <w:uiPriority w:val="30"/>
    <w:qFormat/>
    <w:rsid w:val="001D7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7F5B"/>
    <w:rPr>
      <w:i/>
      <w:iCs/>
      <w:color w:val="0F4761" w:themeColor="accent1" w:themeShade="BF"/>
    </w:rPr>
  </w:style>
  <w:style w:type="character" w:styleId="Referenciaintensa">
    <w:name w:val="Intense Reference"/>
    <w:basedOn w:val="Fuentedeprrafopredeter"/>
    <w:uiPriority w:val="32"/>
    <w:qFormat/>
    <w:rsid w:val="001D7F5B"/>
    <w:rPr>
      <w:b/>
      <w:bCs/>
      <w:smallCaps/>
      <w:color w:val="0F4761" w:themeColor="accent1" w:themeShade="BF"/>
      <w:spacing w:val="5"/>
    </w:rPr>
  </w:style>
  <w:style w:type="paragraph" w:styleId="Encabezado">
    <w:name w:val="header"/>
    <w:basedOn w:val="Normal"/>
    <w:link w:val="EncabezadoCar"/>
    <w:uiPriority w:val="99"/>
    <w:unhideWhenUsed/>
    <w:rsid w:val="001D7F5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D7F5B"/>
  </w:style>
  <w:style w:type="paragraph" w:styleId="Piedepgina">
    <w:name w:val="footer"/>
    <w:basedOn w:val="Normal"/>
    <w:link w:val="PiedepginaCar"/>
    <w:uiPriority w:val="99"/>
    <w:unhideWhenUsed/>
    <w:rsid w:val="001D7F5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D7F5B"/>
  </w:style>
  <w:style w:type="paragraph" w:styleId="Textoindependiente">
    <w:name w:val="Body Text"/>
    <w:basedOn w:val="Normal"/>
    <w:link w:val="TextoindependienteCar"/>
    <w:uiPriority w:val="1"/>
    <w:qFormat/>
    <w:rsid w:val="00D96372"/>
    <w:pPr>
      <w:widowControl w:val="0"/>
      <w:autoSpaceDE w:val="0"/>
      <w:autoSpaceDN w:val="0"/>
      <w:spacing w:after="0" w:line="240" w:lineRule="auto"/>
      <w:ind w:left="262"/>
    </w:pPr>
    <w:rPr>
      <w:rFonts w:ascii="Times New Roman" w:eastAsia="Times New Roman" w:hAnsi="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D96372"/>
    <w:rPr>
      <w:rFonts w:ascii="Times New Roman" w:eastAsia="Times New Roman" w:hAnsi="Times New Roman" w:cs="Times New Roman"/>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451</Words>
  <Characters>2484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Leon</dc:creator>
  <cp:keywords/>
  <dc:description/>
  <cp:lastModifiedBy>Eduardo Miguel Rusconi Trujillo</cp:lastModifiedBy>
  <cp:revision>3</cp:revision>
  <dcterms:created xsi:type="dcterms:W3CDTF">2026-05-16T03:24:00Z</dcterms:created>
  <dcterms:modified xsi:type="dcterms:W3CDTF">2026-05-16T03:27:00Z</dcterms:modified>
</cp:coreProperties>
</file>