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09CC15B" w14:textId="7BE5560D" w:rsidR="008E32C8" w:rsidRDefault="008E32C8" w:rsidP="00274825"/>
    <w:p w14:paraId="2823223E" w14:textId="66E55F31" w:rsidR="00274825" w:rsidRDefault="00274825" w:rsidP="00274825"/>
    <w:p w14:paraId="0C1701C5" w14:textId="77777777" w:rsidR="00B07157" w:rsidRDefault="00B07157" w:rsidP="00B07157">
      <w:pPr>
        <w:spacing w:after="240"/>
        <w:jc w:val="center"/>
        <w:rPr>
          <w:rFonts w:ascii="Times New Roman" w:hAnsi="Times New Roman" w:cs="Times New Roman"/>
          <w:b/>
          <w:lang w:val="es-MX"/>
        </w:rPr>
      </w:pPr>
    </w:p>
    <w:p w14:paraId="10AE9EB9" w14:textId="160BE664" w:rsidR="006F289A" w:rsidRDefault="00B07157" w:rsidP="006F289A">
      <w:pPr>
        <w:spacing w:after="240"/>
        <w:jc w:val="center"/>
        <w:rPr>
          <w:rFonts w:ascii="Times New Roman" w:hAnsi="Times New Roman" w:cs="Times New Roman"/>
          <w:b/>
          <w:lang w:val="es-MX"/>
        </w:rPr>
      </w:pPr>
      <w:r>
        <w:rPr>
          <w:rFonts w:ascii="Times New Roman" w:hAnsi="Times New Roman" w:cs="Times New Roman"/>
          <w:b/>
          <w:lang w:val="es-MX"/>
        </w:rPr>
        <w:t xml:space="preserve">RECOMENDACIONES PARA </w:t>
      </w:r>
      <w:r w:rsidR="006F289A">
        <w:rPr>
          <w:rFonts w:ascii="Times New Roman" w:hAnsi="Times New Roman" w:cs="Times New Roman"/>
          <w:b/>
          <w:lang w:val="es-MX"/>
        </w:rPr>
        <w:t xml:space="preserve">EL MANTENIMEINTO DE CUENTAS FISCALES SANAS </w:t>
      </w:r>
    </w:p>
    <w:p w14:paraId="05EEF3F4" w14:textId="02883AB5" w:rsidR="00B07157" w:rsidRPr="00B07157" w:rsidRDefault="00B07157" w:rsidP="006F289A">
      <w:pPr>
        <w:spacing w:after="240"/>
        <w:rPr>
          <w:rFonts w:ascii="Times New Roman" w:hAnsi="Times New Roman" w:cs="Times New Roman"/>
          <w:b/>
          <w:lang w:val="es-MX"/>
        </w:rPr>
      </w:pPr>
      <w:r w:rsidRPr="00B07157">
        <w:rPr>
          <w:rFonts w:ascii="Times New Roman" w:hAnsi="Times New Roman" w:cs="Times New Roman"/>
          <w:b/>
          <w:lang w:val="es-MX"/>
        </w:rPr>
        <w:t>I. INDICACIONES E INFORMACIÓN BÁSICAS PARA EL MEJOR PROCESAMIENTO DE LA CONTABILIDAD:</w:t>
      </w:r>
    </w:p>
    <w:p w14:paraId="3B118DBD" w14:textId="77777777" w:rsidR="00B07157" w:rsidRPr="00B07157" w:rsidRDefault="00B07157" w:rsidP="00B07157">
      <w:pPr>
        <w:spacing w:after="240" w:line="360" w:lineRule="auto"/>
        <w:jc w:val="both"/>
        <w:rPr>
          <w:rFonts w:ascii="Times New Roman" w:hAnsi="Times New Roman" w:cs="Times New Roman"/>
          <w:lang w:val="es-MX"/>
        </w:rPr>
      </w:pPr>
      <w:r w:rsidRPr="00B07157">
        <w:rPr>
          <w:rFonts w:ascii="Times New Roman" w:hAnsi="Times New Roman" w:cs="Times New Roman"/>
          <w:lang w:val="es-MX"/>
        </w:rPr>
        <w:t xml:space="preserve">1. Obtener </w:t>
      </w:r>
      <w:proofErr w:type="spellStart"/>
      <w:r w:rsidRPr="00B07157">
        <w:rPr>
          <w:rFonts w:ascii="Times New Roman" w:hAnsi="Times New Roman" w:cs="Times New Roman"/>
          <w:lang w:val="es-MX"/>
        </w:rPr>
        <w:t>CFDI’s</w:t>
      </w:r>
      <w:proofErr w:type="spellEnd"/>
      <w:r w:rsidRPr="00B07157">
        <w:rPr>
          <w:rFonts w:ascii="Times New Roman" w:hAnsi="Times New Roman" w:cs="Times New Roman"/>
          <w:lang w:val="es-MX"/>
        </w:rPr>
        <w:t xml:space="preserve"> de todos los egresos realizados que sean estrictamente indispensables para los fines de la actividad del contribuyente;</w:t>
      </w:r>
    </w:p>
    <w:p w14:paraId="2B776B0C" w14:textId="77777777" w:rsidR="00B07157" w:rsidRPr="00B07157" w:rsidRDefault="00B07157" w:rsidP="00B07157">
      <w:pPr>
        <w:spacing w:after="240" w:line="360" w:lineRule="auto"/>
        <w:jc w:val="both"/>
        <w:rPr>
          <w:rFonts w:ascii="Times New Roman" w:hAnsi="Times New Roman" w:cs="Times New Roman"/>
          <w:lang w:val="es-MX"/>
        </w:rPr>
      </w:pPr>
      <w:r w:rsidRPr="00B07157">
        <w:rPr>
          <w:rFonts w:ascii="Times New Roman" w:hAnsi="Times New Roman" w:cs="Times New Roman"/>
          <w:lang w:val="es-MX"/>
        </w:rPr>
        <w:t xml:space="preserve">2. No obtener </w:t>
      </w:r>
      <w:proofErr w:type="spellStart"/>
      <w:r w:rsidRPr="00B07157">
        <w:rPr>
          <w:rFonts w:ascii="Times New Roman" w:hAnsi="Times New Roman" w:cs="Times New Roman"/>
          <w:lang w:val="es-MX"/>
        </w:rPr>
        <w:t>CFDI’s</w:t>
      </w:r>
      <w:proofErr w:type="spellEnd"/>
      <w:r w:rsidRPr="00B07157">
        <w:rPr>
          <w:rFonts w:ascii="Times New Roman" w:hAnsi="Times New Roman" w:cs="Times New Roman"/>
          <w:lang w:val="es-MX"/>
        </w:rPr>
        <w:t xml:space="preserve"> de los gastos que no sean indispensables para los fines de la actividad del contribuyente, tales como entretenimiento, artículos personales, etc.;</w:t>
      </w:r>
    </w:p>
    <w:p w14:paraId="1F52679B" w14:textId="77777777" w:rsidR="00B07157" w:rsidRPr="00B07157" w:rsidRDefault="00B07157" w:rsidP="00B07157">
      <w:pPr>
        <w:tabs>
          <w:tab w:val="left" w:pos="3282"/>
        </w:tabs>
        <w:spacing w:after="240" w:line="360" w:lineRule="auto"/>
        <w:rPr>
          <w:rFonts w:ascii="Times New Roman" w:hAnsi="Times New Roman" w:cs="Times New Roman"/>
          <w:lang w:val="es-MX"/>
        </w:rPr>
      </w:pPr>
      <w:r w:rsidRPr="00B07157">
        <w:rPr>
          <w:rFonts w:ascii="Times New Roman" w:hAnsi="Times New Roman" w:cs="Times New Roman"/>
          <w:lang w:val="es-MX"/>
        </w:rPr>
        <w:t>3. Evitar pagar nóminas, egresos deducibles o tarjetas de crédito, con dinero en efectivo;</w:t>
      </w:r>
    </w:p>
    <w:p w14:paraId="375D5A49" w14:textId="77777777" w:rsidR="00B07157" w:rsidRPr="00B07157" w:rsidRDefault="00B07157" w:rsidP="00B07157">
      <w:pPr>
        <w:spacing w:after="240" w:line="360" w:lineRule="auto"/>
        <w:jc w:val="both"/>
        <w:rPr>
          <w:rFonts w:ascii="Times New Roman" w:hAnsi="Times New Roman" w:cs="Times New Roman"/>
          <w:lang w:val="es-MX"/>
        </w:rPr>
      </w:pPr>
      <w:r w:rsidRPr="00B07157">
        <w:rPr>
          <w:rFonts w:ascii="Times New Roman" w:hAnsi="Times New Roman" w:cs="Times New Roman"/>
          <w:lang w:val="es-MX"/>
        </w:rPr>
        <w:t xml:space="preserve">4. Es responsabilidad del cliente almacenar por sus propios medios, toda la documentación legal que ampare las operaciones registradas en su contabilidad. </w:t>
      </w:r>
      <w:proofErr w:type="spellStart"/>
      <w:r w:rsidRPr="00B07157">
        <w:rPr>
          <w:rFonts w:ascii="Times New Roman" w:hAnsi="Times New Roman" w:cs="Times New Roman"/>
          <w:lang w:val="es-MX"/>
        </w:rPr>
        <w:t>Rusconi</w:t>
      </w:r>
      <w:proofErr w:type="spellEnd"/>
      <w:r w:rsidRPr="00B07157">
        <w:rPr>
          <w:rFonts w:ascii="Times New Roman" w:hAnsi="Times New Roman" w:cs="Times New Roman"/>
          <w:lang w:val="es-MX"/>
        </w:rPr>
        <w:t xml:space="preserve"> &amp; Sauza podrá asesorar al cliente respecto a la mejor manera de documentar cada operación; y</w:t>
      </w:r>
    </w:p>
    <w:p w14:paraId="135D661C" w14:textId="77777777" w:rsidR="00B07157" w:rsidRPr="00B07157" w:rsidRDefault="00B07157" w:rsidP="00B07157">
      <w:pPr>
        <w:spacing w:after="240" w:line="360" w:lineRule="auto"/>
        <w:jc w:val="both"/>
        <w:rPr>
          <w:rFonts w:ascii="Times New Roman" w:hAnsi="Times New Roman" w:cs="Times New Roman"/>
          <w:lang w:val="es-MX"/>
        </w:rPr>
      </w:pPr>
      <w:r w:rsidRPr="00B07157">
        <w:rPr>
          <w:rFonts w:ascii="Times New Roman" w:hAnsi="Times New Roman" w:cs="Times New Roman"/>
          <w:lang w:val="es-MX"/>
        </w:rPr>
        <w:t xml:space="preserve">5. Los cambios patrimoniales serán registrados de conformidad con las instrucciones que nos sean proporcionadas por el cliente. </w:t>
      </w:r>
      <w:proofErr w:type="spellStart"/>
      <w:r w:rsidRPr="00B07157">
        <w:rPr>
          <w:rFonts w:ascii="Times New Roman" w:hAnsi="Times New Roman" w:cs="Times New Roman"/>
          <w:lang w:val="es-MX"/>
        </w:rPr>
        <w:t>Rusconi</w:t>
      </w:r>
      <w:proofErr w:type="spellEnd"/>
      <w:r w:rsidRPr="00B07157">
        <w:rPr>
          <w:rFonts w:ascii="Times New Roman" w:hAnsi="Times New Roman" w:cs="Times New Roman"/>
          <w:lang w:val="es-MX"/>
        </w:rPr>
        <w:t xml:space="preserve"> &amp; Sauza no asume ninguna responsabilidad respecto a la falta de documentación que ampare la naturaleza económica o legal de cada operación registrada en la contabilidad del cliente.</w:t>
      </w:r>
    </w:p>
    <w:p w14:paraId="0122ED82" w14:textId="2BFCF1E4" w:rsidR="00B07157" w:rsidRDefault="00B07157" w:rsidP="00B07157">
      <w:pPr>
        <w:spacing w:after="240" w:line="360" w:lineRule="auto"/>
        <w:jc w:val="both"/>
        <w:rPr>
          <w:rFonts w:ascii="Times New Roman" w:hAnsi="Times New Roman" w:cs="Times New Roman"/>
          <w:b/>
          <w:bCs/>
          <w:lang w:val="es-MX"/>
        </w:rPr>
      </w:pPr>
      <w:r>
        <w:rPr>
          <w:rFonts w:ascii="Times New Roman" w:hAnsi="Times New Roman" w:cs="Times New Roman"/>
          <w:b/>
          <w:bCs/>
          <w:lang w:val="es-MX"/>
        </w:rPr>
        <w:t>II</w:t>
      </w:r>
      <w:r w:rsidRPr="00B07157">
        <w:rPr>
          <w:rFonts w:ascii="Times New Roman" w:hAnsi="Times New Roman" w:cs="Times New Roman"/>
          <w:b/>
          <w:bCs/>
          <w:lang w:val="es-MX"/>
        </w:rPr>
        <w:t>. GASTOS QUE PUEDEN SER DEDUCIDOS</w:t>
      </w:r>
    </w:p>
    <w:p w14:paraId="5C9062B5" w14:textId="6192533B" w:rsidR="00B07157" w:rsidRPr="006F289A" w:rsidRDefault="00B07157" w:rsidP="00B07157">
      <w:pPr>
        <w:spacing w:after="240" w:line="360" w:lineRule="auto"/>
        <w:jc w:val="both"/>
        <w:rPr>
          <w:rFonts w:ascii="Times New Roman" w:hAnsi="Times New Roman" w:cs="Times New Roman"/>
          <w:b/>
          <w:bCs/>
          <w:lang w:val="es-MX"/>
        </w:rPr>
      </w:pPr>
      <w:r w:rsidRPr="00B07157">
        <w:rPr>
          <w:rFonts w:ascii="Times New Roman" w:hAnsi="Times New Roman" w:cs="Times New Roman"/>
          <w:b/>
          <w:bCs/>
          <w:lang w:val="es-MX"/>
        </w:rPr>
        <w:t>Deducciones para Personas Morales</w:t>
      </w:r>
    </w:p>
    <w:p w14:paraId="5BD67622" w14:textId="1BBEB8BC" w:rsidR="00B07157" w:rsidRDefault="00B07157" w:rsidP="00B07157">
      <w:pPr>
        <w:pStyle w:val="Prrafodelista"/>
        <w:numPr>
          <w:ilvl w:val="0"/>
          <w:numId w:val="3"/>
        </w:numPr>
        <w:spacing w:after="240" w:line="360" w:lineRule="auto"/>
        <w:jc w:val="both"/>
        <w:rPr>
          <w:rFonts w:ascii="Times New Roman" w:hAnsi="Times New Roman" w:cs="Times New Roman"/>
          <w:lang w:val="es-MX"/>
        </w:rPr>
      </w:pPr>
      <w:r w:rsidRPr="00B07157">
        <w:rPr>
          <w:rFonts w:ascii="Times New Roman" w:hAnsi="Times New Roman" w:cs="Times New Roman"/>
          <w:lang w:val="es-MX"/>
        </w:rPr>
        <w:t>Gastos e inversiones necesarios y directamente relacionados con la actividad de la empresa;</w:t>
      </w:r>
    </w:p>
    <w:p w14:paraId="138D8998" w14:textId="77777777" w:rsidR="00B07157" w:rsidRDefault="00B07157" w:rsidP="00B07157">
      <w:pPr>
        <w:pStyle w:val="Prrafodelista"/>
        <w:numPr>
          <w:ilvl w:val="0"/>
          <w:numId w:val="3"/>
        </w:numPr>
        <w:spacing w:after="240" w:line="360" w:lineRule="auto"/>
        <w:jc w:val="both"/>
        <w:rPr>
          <w:rFonts w:ascii="Times New Roman" w:hAnsi="Times New Roman" w:cs="Times New Roman"/>
          <w:lang w:val="es-MX"/>
        </w:rPr>
      </w:pPr>
      <w:r w:rsidRPr="00B07157">
        <w:rPr>
          <w:rFonts w:ascii="Times New Roman" w:hAnsi="Times New Roman" w:cs="Times New Roman"/>
          <w:lang w:val="es-MX"/>
        </w:rPr>
        <w:t>Adquisición de activos fijos vinculados al negocio;</w:t>
      </w:r>
    </w:p>
    <w:p w14:paraId="5AD185A3" w14:textId="77777777" w:rsidR="00B07157" w:rsidRDefault="00B07157" w:rsidP="00B07157">
      <w:pPr>
        <w:pStyle w:val="Prrafodelista"/>
        <w:numPr>
          <w:ilvl w:val="0"/>
          <w:numId w:val="3"/>
        </w:numPr>
        <w:spacing w:after="240" w:line="360" w:lineRule="auto"/>
        <w:jc w:val="both"/>
        <w:rPr>
          <w:rFonts w:ascii="Times New Roman" w:hAnsi="Times New Roman" w:cs="Times New Roman"/>
          <w:lang w:val="es-MX"/>
        </w:rPr>
      </w:pPr>
      <w:r w:rsidRPr="00B07157">
        <w:rPr>
          <w:rFonts w:ascii="Times New Roman" w:hAnsi="Times New Roman" w:cs="Times New Roman"/>
          <w:lang w:val="es-MX"/>
        </w:rPr>
        <w:t>Contribuciones a la seguridad social de los empleados;</w:t>
      </w:r>
    </w:p>
    <w:p w14:paraId="1F86512E" w14:textId="77777777" w:rsidR="00B07157" w:rsidRDefault="00B07157" w:rsidP="00B07157">
      <w:pPr>
        <w:pStyle w:val="Prrafodelista"/>
        <w:numPr>
          <w:ilvl w:val="0"/>
          <w:numId w:val="3"/>
        </w:numPr>
        <w:spacing w:after="240" w:line="360" w:lineRule="auto"/>
        <w:jc w:val="both"/>
        <w:rPr>
          <w:rFonts w:ascii="Times New Roman" w:hAnsi="Times New Roman" w:cs="Times New Roman"/>
          <w:lang w:val="es-MX"/>
        </w:rPr>
      </w:pPr>
      <w:r w:rsidRPr="00B07157">
        <w:rPr>
          <w:rFonts w:ascii="Times New Roman" w:hAnsi="Times New Roman" w:cs="Times New Roman"/>
          <w:lang w:val="es-MX"/>
        </w:rPr>
        <w:t>Gastos por intereses pagados a instituciones financieras;</w:t>
      </w:r>
    </w:p>
    <w:p w14:paraId="6D95DEF9" w14:textId="77777777" w:rsidR="00B07157" w:rsidRDefault="00B07157" w:rsidP="00B07157">
      <w:pPr>
        <w:pStyle w:val="Prrafodelista"/>
        <w:numPr>
          <w:ilvl w:val="0"/>
          <w:numId w:val="3"/>
        </w:numPr>
        <w:spacing w:after="240" w:line="360" w:lineRule="auto"/>
        <w:jc w:val="both"/>
        <w:rPr>
          <w:rFonts w:ascii="Times New Roman" w:hAnsi="Times New Roman" w:cs="Times New Roman"/>
          <w:lang w:val="es-MX"/>
        </w:rPr>
      </w:pPr>
      <w:r w:rsidRPr="00B07157">
        <w:rPr>
          <w:rFonts w:ascii="Times New Roman" w:hAnsi="Times New Roman" w:cs="Times New Roman"/>
          <w:lang w:val="es-MX"/>
        </w:rPr>
        <w:t>Pérdidas fiscales de ejercicios anteriores;</w:t>
      </w:r>
    </w:p>
    <w:p w14:paraId="3EFB6F4F" w14:textId="77777777" w:rsidR="00B07157" w:rsidRDefault="00B07157" w:rsidP="00B07157">
      <w:pPr>
        <w:pStyle w:val="Prrafodelista"/>
        <w:numPr>
          <w:ilvl w:val="0"/>
          <w:numId w:val="3"/>
        </w:numPr>
        <w:spacing w:after="240" w:line="360" w:lineRule="auto"/>
        <w:jc w:val="both"/>
        <w:rPr>
          <w:rFonts w:ascii="Times New Roman" w:hAnsi="Times New Roman" w:cs="Times New Roman"/>
          <w:lang w:val="es-MX"/>
        </w:rPr>
      </w:pPr>
      <w:r w:rsidRPr="00B07157">
        <w:rPr>
          <w:rFonts w:ascii="Times New Roman" w:hAnsi="Times New Roman" w:cs="Times New Roman"/>
          <w:lang w:val="es-MX"/>
        </w:rPr>
        <w:t>Donaciones a instituciones autorizadas para recibir donativos deducibles;</w:t>
      </w:r>
    </w:p>
    <w:p w14:paraId="3292B40F" w14:textId="7CDB796B" w:rsidR="00B07157" w:rsidRPr="00B07157" w:rsidRDefault="00B07157" w:rsidP="00B07157">
      <w:pPr>
        <w:spacing w:after="240" w:line="360" w:lineRule="auto"/>
        <w:ind w:left="360"/>
        <w:jc w:val="both"/>
        <w:rPr>
          <w:rFonts w:ascii="Times New Roman" w:hAnsi="Times New Roman" w:cs="Times New Roman"/>
          <w:lang w:val="es-MX"/>
        </w:rPr>
      </w:pPr>
      <w:r w:rsidRPr="00B07157">
        <w:rPr>
          <w:rFonts w:ascii="Times New Roman" w:hAnsi="Times New Roman" w:cs="Times New Roman"/>
          <w:lang w:val="es-MX"/>
        </w:rPr>
        <w:lastRenderedPageBreak/>
        <w:t xml:space="preserve"> </w:t>
      </w:r>
    </w:p>
    <w:p w14:paraId="6BB6F6F3" w14:textId="4045030C" w:rsidR="00B07157" w:rsidRPr="00B07157" w:rsidRDefault="00B07157" w:rsidP="00B07157">
      <w:pPr>
        <w:pStyle w:val="Prrafodelista"/>
        <w:numPr>
          <w:ilvl w:val="0"/>
          <w:numId w:val="3"/>
        </w:numPr>
        <w:spacing w:after="240" w:line="360" w:lineRule="auto"/>
        <w:jc w:val="both"/>
        <w:rPr>
          <w:rFonts w:ascii="Times New Roman" w:hAnsi="Times New Roman" w:cs="Times New Roman"/>
          <w:lang w:val="es-MX"/>
        </w:rPr>
      </w:pPr>
      <w:r w:rsidRPr="00B07157">
        <w:rPr>
          <w:rFonts w:ascii="Times New Roman" w:hAnsi="Times New Roman" w:cs="Times New Roman"/>
          <w:lang w:val="es-MX"/>
        </w:rPr>
        <w:t>Gastos de previsión social para empleados;</w:t>
      </w:r>
    </w:p>
    <w:p w14:paraId="7E0C0F50" w14:textId="7EA1115E" w:rsidR="00B07157" w:rsidRDefault="00B07157" w:rsidP="00B07157">
      <w:pPr>
        <w:pStyle w:val="Prrafodelista"/>
        <w:numPr>
          <w:ilvl w:val="0"/>
          <w:numId w:val="3"/>
        </w:numPr>
        <w:spacing w:after="240" w:line="360" w:lineRule="auto"/>
        <w:jc w:val="both"/>
        <w:rPr>
          <w:rFonts w:ascii="Times New Roman" w:hAnsi="Times New Roman" w:cs="Times New Roman"/>
          <w:lang w:val="es-MX"/>
        </w:rPr>
      </w:pPr>
      <w:r w:rsidRPr="00B07157">
        <w:rPr>
          <w:rFonts w:ascii="Times New Roman" w:hAnsi="Times New Roman" w:cs="Times New Roman"/>
          <w:lang w:val="es-MX"/>
        </w:rPr>
        <w:t>Provisiones técnicas de compañías de seguros y fianzas</w:t>
      </w:r>
      <w:r w:rsidR="00EA4C04">
        <w:rPr>
          <w:rFonts w:ascii="Times New Roman" w:hAnsi="Times New Roman" w:cs="Times New Roman"/>
          <w:lang w:val="es-MX"/>
        </w:rPr>
        <w:t xml:space="preserve"> y</w:t>
      </w:r>
    </w:p>
    <w:p w14:paraId="30EBACF8" w14:textId="0B419E30" w:rsidR="00B07157" w:rsidRPr="006F289A" w:rsidRDefault="00B07157" w:rsidP="006F289A">
      <w:pPr>
        <w:pStyle w:val="Prrafodelista"/>
        <w:numPr>
          <w:ilvl w:val="0"/>
          <w:numId w:val="3"/>
        </w:numPr>
        <w:spacing w:after="240" w:line="360" w:lineRule="auto"/>
        <w:jc w:val="both"/>
        <w:rPr>
          <w:rFonts w:ascii="Times New Roman" w:hAnsi="Times New Roman" w:cs="Times New Roman"/>
          <w:lang w:val="es-MX"/>
        </w:rPr>
      </w:pPr>
      <w:r w:rsidRPr="00B07157">
        <w:rPr>
          <w:rFonts w:ascii="Times New Roman" w:hAnsi="Times New Roman" w:cs="Times New Roman"/>
          <w:lang w:val="es-MX"/>
        </w:rPr>
        <w:t>Gastos de investigación y desarrollo de tecnología</w:t>
      </w:r>
      <w:r w:rsidR="00EA4C04">
        <w:rPr>
          <w:rFonts w:ascii="Times New Roman" w:hAnsi="Times New Roman" w:cs="Times New Roman"/>
          <w:lang w:val="es-MX"/>
        </w:rPr>
        <w:t>.</w:t>
      </w:r>
    </w:p>
    <w:p w14:paraId="7C881564" w14:textId="458FF485" w:rsidR="00B07157" w:rsidRPr="006F289A" w:rsidRDefault="00B07157" w:rsidP="006F289A">
      <w:pPr>
        <w:spacing w:after="240" w:line="360" w:lineRule="auto"/>
        <w:jc w:val="both"/>
        <w:rPr>
          <w:rFonts w:ascii="Times New Roman" w:hAnsi="Times New Roman" w:cs="Times New Roman"/>
          <w:b/>
          <w:bCs/>
          <w:lang w:val="es-MX"/>
        </w:rPr>
      </w:pPr>
      <w:r w:rsidRPr="006F289A">
        <w:rPr>
          <w:rFonts w:ascii="Times New Roman" w:hAnsi="Times New Roman" w:cs="Times New Roman"/>
          <w:b/>
          <w:bCs/>
          <w:lang w:val="es-MX"/>
        </w:rPr>
        <w:t>Deducciones para Personas Físicas con Actividad Empresarial o Profesional</w:t>
      </w:r>
    </w:p>
    <w:p w14:paraId="1592974E" w14:textId="77777777" w:rsidR="00B07157" w:rsidRDefault="00B07157" w:rsidP="006F289A">
      <w:pPr>
        <w:pStyle w:val="Prrafodelista"/>
        <w:numPr>
          <w:ilvl w:val="0"/>
          <w:numId w:val="4"/>
        </w:numPr>
        <w:spacing w:after="240" w:line="360" w:lineRule="auto"/>
        <w:ind w:left="709" w:hanging="283"/>
        <w:jc w:val="both"/>
        <w:rPr>
          <w:rFonts w:ascii="Times New Roman" w:hAnsi="Times New Roman" w:cs="Times New Roman"/>
          <w:lang w:val="es-MX"/>
        </w:rPr>
      </w:pPr>
      <w:r w:rsidRPr="00B07157">
        <w:rPr>
          <w:rFonts w:ascii="Times New Roman" w:hAnsi="Times New Roman" w:cs="Times New Roman"/>
          <w:lang w:val="es-MX"/>
        </w:rPr>
        <w:t>Gastos e inversiones necesarios y directamente relacionados con la actividad económica;</w:t>
      </w:r>
    </w:p>
    <w:p w14:paraId="7B372A9E" w14:textId="77777777" w:rsidR="00B07157" w:rsidRDefault="00B07157" w:rsidP="006F289A">
      <w:pPr>
        <w:pStyle w:val="Prrafodelista"/>
        <w:numPr>
          <w:ilvl w:val="0"/>
          <w:numId w:val="4"/>
        </w:numPr>
        <w:spacing w:after="240" w:line="360" w:lineRule="auto"/>
        <w:ind w:left="709" w:hanging="283"/>
        <w:jc w:val="both"/>
        <w:rPr>
          <w:rFonts w:ascii="Times New Roman" w:hAnsi="Times New Roman" w:cs="Times New Roman"/>
          <w:lang w:val="es-MX"/>
        </w:rPr>
      </w:pPr>
      <w:r w:rsidRPr="00B07157">
        <w:rPr>
          <w:rFonts w:ascii="Times New Roman" w:hAnsi="Times New Roman" w:cs="Times New Roman"/>
          <w:lang w:val="es-MX"/>
        </w:rPr>
        <w:t>Adquisición de activos fijos vinculados a la actividad profesional o empresarial;</w:t>
      </w:r>
    </w:p>
    <w:p w14:paraId="44EF9EE4" w14:textId="77777777" w:rsidR="00B07157" w:rsidRDefault="00B07157" w:rsidP="006F289A">
      <w:pPr>
        <w:pStyle w:val="Prrafodelista"/>
        <w:numPr>
          <w:ilvl w:val="0"/>
          <w:numId w:val="4"/>
        </w:numPr>
        <w:spacing w:after="240" w:line="360" w:lineRule="auto"/>
        <w:ind w:left="709" w:hanging="283"/>
        <w:jc w:val="both"/>
        <w:rPr>
          <w:rFonts w:ascii="Times New Roman" w:hAnsi="Times New Roman" w:cs="Times New Roman"/>
          <w:lang w:val="es-MX"/>
        </w:rPr>
      </w:pPr>
      <w:r w:rsidRPr="00B07157">
        <w:rPr>
          <w:rFonts w:ascii="Times New Roman" w:hAnsi="Times New Roman" w:cs="Times New Roman"/>
          <w:lang w:val="es-MX"/>
        </w:rPr>
        <w:t>Gastos médicos y hospitalarios;</w:t>
      </w:r>
    </w:p>
    <w:p w14:paraId="39F46D42" w14:textId="77777777" w:rsidR="00B07157" w:rsidRDefault="00B07157" w:rsidP="006F289A">
      <w:pPr>
        <w:pStyle w:val="Prrafodelista"/>
        <w:numPr>
          <w:ilvl w:val="0"/>
          <w:numId w:val="4"/>
        </w:numPr>
        <w:spacing w:after="240" w:line="360" w:lineRule="auto"/>
        <w:ind w:left="709" w:hanging="283"/>
        <w:jc w:val="both"/>
        <w:rPr>
          <w:rFonts w:ascii="Times New Roman" w:hAnsi="Times New Roman" w:cs="Times New Roman"/>
          <w:lang w:val="es-MX"/>
        </w:rPr>
      </w:pPr>
      <w:r w:rsidRPr="00B07157">
        <w:rPr>
          <w:rFonts w:ascii="Times New Roman" w:hAnsi="Times New Roman" w:cs="Times New Roman"/>
          <w:lang w:val="es-MX"/>
        </w:rPr>
        <w:t>Pagos por colegiaturas de nivel preescolar hasta bachillerato;</w:t>
      </w:r>
    </w:p>
    <w:p w14:paraId="03B3AB61" w14:textId="77777777" w:rsidR="00B07157" w:rsidRDefault="00B07157" w:rsidP="006F289A">
      <w:pPr>
        <w:pStyle w:val="Prrafodelista"/>
        <w:numPr>
          <w:ilvl w:val="0"/>
          <w:numId w:val="4"/>
        </w:numPr>
        <w:spacing w:after="240" w:line="360" w:lineRule="auto"/>
        <w:ind w:left="709" w:hanging="283"/>
        <w:jc w:val="both"/>
        <w:rPr>
          <w:rFonts w:ascii="Times New Roman" w:hAnsi="Times New Roman" w:cs="Times New Roman"/>
          <w:lang w:val="es-MX"/>
        </w:rPr>
      </w:pPr>
      <w:r w:rsidRPr="00B07157">
        <w:rPr>
          <w:rFonts w:ascii="Times New Roman" w:hAnsi="Times New Roman" w:cs="Times New Roman"/>
          <w:lang w:val="es-MX"/>
        </w:rPr>
        <w:t>Intereses pagados por créditos hipotecarios;</w:t>
      </w:r>
    </w:p>
    <w:p w14:paraId="4265B156" w14:textId="77777777" w:rsidR="00B07157" w:rsidRDefault="00B07157" w:rsidP="006F289A">
      <w:pPr>
        <w:pStyle w:val="Prrafodelista"/>
        <w:numPr>
          <w:ilvl w:val="0"/>
          <w:numId w:val="4"/>
        </w:numPr>
        <w:spacing w:after="240" w:line="360" w:lineRule="auto"/>
        <w:ind w:left="709" w:hanging="283"/>
        <w:jc w:val="both"/>
        <w:rPr>
          <w:rFonts w:ascii="Times New Roman" w:hAnsi="Times New Roman" w:cs="Times New Roman"/>
          <w:lang w:val="es-MX"/>
        </w:rPr>
      </w:pPr>
      <w:r w:rsidRPr="00B07157">
        <w:rPr>
          <w:rFonts w:ascii="Times New Roman" w:hAnsi="Times New Roman" w:cs="Times New Roman"/>
          <w:lang w:val="es-MX"/>
        </w:rPr>
        <w:t>Aportaciones complementarias de retiro y primas de seguro que tengan como base planes de pensiones;</w:t>
      </w:r>
    </w:p>
    <w:p w14:paraId="546E838F" w14:textId="77777777" w:rsidR="00B07157" w:rsidRDefault="00B07157" w:rsidP="006F289A">
      <w:pPr>
        <w:pStyle w:val="Prrafodelista"/>
        <w:numPr>
          <w:ilvl w:val="0"/>
          <w:numId w:val="4"/>
        </w:numPr>
        <w:spacing w:after="240" w:line="360" w:lineRule="auto"/>
        <w:ind w:left="709" w:hanging="283"/>
        <w:jc w:val="both"/>
        <w:rPr>
          <w:rFonts w:ascii="Times New Roman" w:hAnsi="Times New Roman" w:cs="Times New Roman"/>
          <w:lang w:val="es-MX"/>
        </w:rPr>
      </w:pPr>
      <w:r w:rsidRPr="00B07157">
        <w:rPr>
          <w:rFonts w:ascii="Times New Roman" w:hAnsi="Times New Roman" w:cs="Times New Roman"/>
          <w:lang w:val="es-MX"/>
        </w:rPr>
        <w:t>Donativos a instituciones autorizadas para recibir donativos deducibles;</w:t>
      </w:r>
    </w:p>
    <w:p w14:paraId="37C5F496" w14:textId="4740C3AF" w:rsidR="00B07157" w:rsidRDefault="00B07157" w:rsidP="006F289A">
      <w:pPr>
        <w:pStyle w:val="Prrafodelista"/>
        <w:numPr>
          <w:ilvl w:val="0"/>
          <w:numId w:val="4"/>
        </w:numPr>
        <w:spacing w:after="240" w:line="360" w:lineRule="auto"/>
        <w:ind w:left="709" w:hanging="283"/>
        <w:jc w:val="both"/>
        <w:rPr>
          <w:rFonts w:ascii="Times New Roman" w:hAnsi="Times New Roman" w:cs="Times New Roman"/>
          <w:lang w:val="es-MX"/>
        </w:rPr>
      </w:pPr>
      <w:r w:rsidRPr="00B07157">
        <w:rPr>
          <w:rFonts w:ascii="Times New Roman" w:hAnsi="Times New Roman" w:cs="Times New Roman"/>
          <w:lang w:val="es-MX"/>
        </w:rPr>
        <w:t>Gastos funerarios de familiares directos</w:t>
      </w:r>
      <w:r w:rsidR="00EA4C04">
        <w:rPr>
          <w:rFonts w:ascii="Times New Roman" w:hAnsi="Times New Roman" w:cs="Times New Roman"/>
          <w:lang w:val="es-MX"/>
        </w:rPr>
        <w:t xml:space="preserve"> y</w:t>
      </w:r>
    </w:p>
    <w:p w14:paraId="2ED4D661" w14:textId="046C509F" w:rsidR="00B07157" w:rsidRPr="00B07157" w:rsidRDefault="00B07157" w:rsidP="006F289A">
      <w:pPr>
        <w:pStyle w:val="Prrafodelista"/>
        <w:numPr>
          <w:ilvl w:val="0"/>
          <w:numId w:val="4"/>
        </w:numPr>
        <w:spacing w:after="240" w:line="360" w:lineRule="auto"/>
        <w:ind w:left="709" w:hanging="283"/>
        <w:jc w:val="both"/>
        <w:rPr>
          <w:rFonts w:ascii="Times New Roman" w:hAnsi="Times New Roman" w:cs="Times New Roman"/>
          <w:lang w:val="es-MX"/>
        </w:rPr>
      </w:pPr>
      <w:r w:rsidRPr="00B07157">
        <w:rPr>
          <w:rFonts w:ascii="Times New Roman" w:hAnsi="Times New Roman" w:cs="Times New Roman"/>
          <w:lang w:val="es-MX"/>
        </w:rPr>
        <w:t>Aportaciones voluntarias al IMSS e INFONAVIT</w:t>
      </w:r>
      <w:r w:rsidR="00EA4C04">
        <w:rPr>
          <w:rFonts w:ascii="Times New Roman" w:hAnsi="Times New Roman" w:cs="Times New Roman"/>
          <w:lang w:val="es-MX"/>
        </w:rPr>
        <w:t>.</w:t>
      </w:r>
    </w:p>
    <w:p w14:paraId="3631038E" w14:textId="5A73ABDF" w:rsidR="00B07157" w:rsidRDefault="00B07157" w:rsidP="00B07157">
      <w:pPr>
        <w:spacing w:after="240" w:line="360" w:lineRule="auto"/>
        <w:jc w:val="both"/>
        <w:rPr>
          <w:rFonts w:ascii="Times New Roman" w:hAnsi="Times New Roman" w:cs="Times New Roman"/>
          <w:lang w:val="es-MX"/>
        </w:rPr>
      </w:pPr>
      <w:r w:rsidRPr="00B07157">
        <w:rPr>
          <w:rFonts w:ascii="Times New Roman" w:hAnsi="Times New Roman" w:cs="Times New Roman"/>
          <w:lang w:val="es-MX"/>
        </w:rPr>
        <w:t>Se recomienda evitar facturar o pagar con las cuentas bancarias aquellas operaciones que no puedan ser deducibles, ya que esto podría generar incongruencias en la contabilidad y posibles sanciones fiscales. Para ambos casos, es fundamental que los g</w:t>
      </w:r>
      <w:r w:rsidR="00E6213D">
        <w:rPr>
          <w:rFonts w:ascii="Times New Roman" w:hAnsi="Times New Roman" w:cs="Times New Roman"/>
          <w:lang w:val="es-MX"/>
        </w:rPr>
        <w:t>a</w:t>
      </w:r>
      <w:r w:rsidRPr="00B07157">
        <w:rPr>
          <w:rFonts w:ascii="Times New Roman" w:hAnsi="Times New Roman" w:cs="Times New Roman"/>
          <w:lang w:val="es-MX"/>
        </w:rPr>
        <w:t>stos o inversiones deducibles estén vinculados de manera directa con la prestación de servicios o la fabricación de bienes que formen parte de la actividad económica del contribuyente. Consultar con un contador o abogado especializado para obtener información actualizada sobre las deducciones aplicables a cada caso es crucial.</w:t>
      </w:r>
    </w:p>
    <w:p w14:paraId="116240E5" w14:textId="30B821E4" w:rsidR="00B07157" w:rsidRDefault="00E6213D" w:rsidP="00B07157">
      <w:pPr>
        <w:spacing w:after="240" w:line="360" w:lineRule="auto"/>
        <w:jc w:val="both"/>
        <w:rPr>
          <w:rFonts w:ascii="Times New Roman" w:hAnsi="Times New Roman" w:cs="Times New Roman"/>
          <w:b/>
          <w:bCs/>
          <w:lang w:val="es-MX"/>
        </w:rPr>
      </w:pPr>
      <w:r>
        <w:rPr>
          <w:rFonts w:ascii="Times New Roman" w:hAnsi="Times New Roman" w:cs="Times New Roman"/>
          <w:b/>
          <w:bCs/>
          <w:lang w:val="es-MX"/>
        </w:rPr>
        <w:t>III</w:t>
      </w:r>
      <w:r w:rsidR="003237C5">
        <w:rPr>
          <w:rFonts w:ascii="Times New Roman" w:hAnsi="Times New Roman" w:cs="Times New Roman"/>
          <w:b/>
          <w:bCs/>
          <w:lang w:val="es-MX"/>
        </w:rPr>
        <w:t xml:space="preserve">. </w:t>
      </w:r>
      <w:r>
        <w:rPr>
          <w:rFonts w:ascii="Times New Roman" w:hAnsi="Times New Roman" w:cs="Times New Roman"/>
          <w:b/>
          <w:bCs/>
          <w:lang w:val="es-MX"/>
        </w:rPr>
        <w:t xml:space="preserve">IMPORTANCIA DE QUE UNA EMPRESA ESTE REGISTRADA ANTE EL IMSS </w:t>
      </w:r>
    </w:p>
    <w:p w14:paraId="66663C28" w14:textId="77777777" w:rsidR="00E6213D" w:rsidRPr="00E6213D" w:rsidRDefault="00E6213D" w:rsidP="00E6213D">
      <w:pPr>
        <w:spacing w:after="240" w:line="360" w:lineRule="auto"/>
        <w:jc w:val="both"/>
        <w:rPr>
          <w:rFonts w:ascii="Times New Roman" w:hAnsi="Times New Roman" w:cs="Times New Roman"/>
          <w:lang w:val="es-MX"/>
        </w:rPr>
      </w:pPr>
      <w:r w:rsidRPr="00E6213D">
        <w:rPr>
          <w:rFonts w:ascii="Times New Roman" w:hAnsi="Times New Roman" w:cs="Times New Roman"/>
          <w:lang w:val="es-MX"/>
        </w:rPr>
        <w:t>Es importante que una empresa se dé de alta ante el Instituto Mexicano del Seguro Social (IMSS) por diversas razones fiscales. En primer lugar, al hacerlo, la empresa cumple con una obligación legal y evita posibles sanciones por parte de las autoridades fiscales.</w:t>
      </w:r>
    </w:p>
    <w:p w14:paraId="7B1EA784" w14:textId="77777777" w:rsidR="00E6213D" w:rsidRPr="00E6213D" w:rsidRDefault="00E6213D" w:rsidP="00E6213D">
      <w:pPr>
        <w:spacing w:after="240" w:line="360" w:lineRule="auto"/>
        <w:jc w:val="both"/>
        <w:rPr>
          <w:rFonts w:ascii="Times New Roman" w:hAnsi="Times New Roman" w:cs="Times New Roman"/>
          <w:lang w:val="es-MX"/>
        </w:rPr>
      </w:pPr>
    </w:p>
    <w:p w14:paraId="41FBFA3F" w14:textId="77777777" w:rsidR="003237C5" w:rsidRDefault="003237C5" w:rsidP="00E6213D">
      <w:pPr>
        <w:spacing w:after="240" w:line="360" w:lineRule="auto"/>
        <w:jc w:val="both"/>
        <w:rPr>
          <w:rFonts w:ascii="Times New Roman" w:hAnsi="Times New Roman" w:cs="Times New Roman"/>
          <w:lang w:val="es-MX"/>
        </w:rPr>
      </w:pPr>
    </w:p>
    <w:p w14:paraId="2DB89DF1" w14:textId="22F8E87E" w:rsidR="00E6213D" w:rsidRPr="00E6213D" w:rsidRDefault="00E6213D" w:rsidP="00E6213D">
      <w:pPr>
        <w:spacing w:after="240" w:line="360" w:lineRule="auto"/>
        <w:jc w:val="both"/>
        <w:rPr>
          <w:rFonts w:ascii="Times New Roman" w:hAnsi="Times New Roman" w:cs="Times New Roman"/>
          <w:lang w:val="es-MX"/>
        </w:rPr>
      </w:pPr>
      <w:r w:rsidRPr="00E6213D">
        <w:rPr>
          <w:rFonts w:ascii="Times New Roman" w:hAnsi="Times New Roman" w:cs="Times New Roman"/>
          <w:lang w:val="es-MX"/>
        </w:rPr>
        <w:t>Además, al estar registrada ante el IMSS, la empresa puede obtener ciertos beneficios fiscales, como la deducción de las cuotas obrero-patronales que pague al Instituto en su declaración anual de impuestos. Estas cuotas pueden representar una cantidad significativa de dinero, por lo que la deducción de las mismas puede reducir la carga tributaria de la empresa.</w:t>
      </w:r>
    </w:p>
    <w:p w14:paraId="0BCFD59C" w14:textId="77777777" w:rsidR="00E6213D" w:rsidRPr="00B07157" w:rsidRDefault="00E6213D" w:rsidP="00B07157">
      <w:pPr>
        <w:spacing w:after="240" w:line="360" w:lineRule="auto"/>
        <w:jc w:val="both"/>
        <w:rPr>
          <w:rFonts w:ascii="Times New Roman" w:hAnsi="Times New Roman" w:cs="Times New Roman"/>
          <w:b/>
          <w:bCs/>
          <w:lang w:val="es-MX"/>
        </w:rPr>
      </w:pPr>
    </w:p>
    <w:p w14:paraId="0881BD43" w14:textId="77777777" w:rsidR="00274825" w:rsidRPr="00B07157" w:rsidRDefault="00274825" w:rsidP="00274825">
      <w:pPr>
        <w:rPr>
          <w:lang w:val="es-MX"/>
        </w:rPr>
      </w:pPr>
    </w:p>
    <w:sectPr w:rsidR="00274825" w:rsidRPr="00B07157" w:rsidSect="008F7C8C">
      <w:headerReference w:type="even" r:id="rId7"/>
      <w:headerReference w:type="default" r:id="rId8"/>
      <w:footerReference w:type="even" r:id="rId9"/>
      <w:footerReference w:type="default" r:id="rId10"/>
      <w:headerReference w:type="first" r:id="rId11"/>
      <w:footerReference w:type="first" r:id="rId12"/>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F075C6D" w14:textId="77777777" w:rsidR="00EE5E59" w:rsidRDefault="00EE5E59" w:rsidP="008F7C8C">
      <w:r>
        <w:separator/>
      </w:r>
    </w:p>
  </w:endnote>
  <w:endnote w:type="continuationSeparator" w:id="0">
    <w:p w14:paraId="456B5724" w14:textId="77777777" w:rsidR="00EE5E59" w:rsidRDefault="00EE5E59" w:rsidP="008F7C8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DengXian">
    <w:altName w:val="DengXian"/>
    <w:panose1 w:val="02010600030101010101"/>
    <w:charset w:val="86"/>
    <w:family w:val="auto"/>
    <w:pitch w:val="variable"/>
    <w:sig w:usb0="A00002BF" w:usb1="38CF7CFA" w:usb2="00000016" w:usb3="00000000" w:csb0="0004000F" w:csb1="00000000"/>
  </w:font>
  <w:font w:name="DengXian Light">
    <w:altName w:val="等线 Light"/>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D728BC8" w14:textId="77777777" w:rsidR="008F7C8C" w:rsidRDefault="008F7C8C">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D728BC9" w14:textId="77777777" w:rsidR="008F7C8C" w:rsidRDefault="008F7C8C">
    <w:pPr>
      <w:pStyle w:val="Piedepgina"/>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D728BCB" w14:textId="77777777" w:rsidR="008F7C8C" w:rsidRDefault="008F7C8C">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F873FC2" w14:textId="77777777" w:rsidR="00EE5E59" w:rsidRDefault="00EE5E59" w:rsidP="008F7C8C">
      <w:r>
        <w:separator/>
      </w:r>
    </w:p>
  </w:footnote>
  <w:footnote w:type="continuationSeparator" w:id="0">
    <w:p w14:paraId="7EBBA056" w14:textId="77777777" w:rsidR="00EE5E59" w:rsidRDefault="00EE5E59" w:rsidP="008F7C8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D728BC6" w14:textId="77777777" w:rsidR="008F7C8C" w:rsidRDefault="00000000">
    <w:pPr>
      <w:pStyle w:val="Encabezado"/>
    </w:pPr>
    <w:r>
      <w:rPr>
        <w:noProof/>
      </w:rPr>
      <w:pict w14:anchorId="6D728BCC">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33103345" o:spid="_x0000_s1027" type="#_x0000_t75" alt="/Volumes/PULSO DATA/PULSO/Almacén Proyectos/2020/Rusconi&amp;Sauza/Identidad/Aplicaciones V2/Membretada/RUCONI_membretada-01.jpg" style="position:absolute;margin-left:0;margin-top:0;width:612.45pt;height:792.45pt;z-index:-251653120;mso-wrap-edited:f;mso-width-percent:0;mso-height-percent:0;mso-position-horizontal:center;mso-position-horizontal-relative:margin;mso-position-vertical:center;mso-position-vertical-relative:margin;mso-width-percent:0;mso-height-percent:0" o:allowincell="f">
          <v:imagedata r:id="rId1" o:title="RUCONI_membretada-01"/>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D728BC7" w14:textId="77777777" w:rsidR="008F7C8C" w:rsidRDefault="00000000">
    <w:pPr>
      <w:pStyle w:val="Encabezado"/>
    </w:pPr>
    <w:r>
      <w:rPr>
        <w:noProof/>
      </w:rPr>
      <w:pict w14:anchorId="6D728BCD">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33103346" o:spid="_x0000_s1026" type="#_x0000_t75" alt="/Volumes/PULSO DATA/PULSO/Almacén Proyectos/2020/Rusconi&amp;Sauza/Identidad/Aplicaciones V2/Membretada/RUCONI_membretada-01.jpg" style="position:absolute;margin-left:0;margin-top:0;width:612.45pt;height:792.45pt;z-index:-251650048;mso-wrap-edited:f;mso-width-percent:0;mso-height-percent:0;mso-position-horizontal:center;mso-position-horizontal-relative:margin;mso-position-vertical:center;mso-position-vertical-relative:margin;mso-width-percent:0;mso-height-percent:0" o:allowincell="f">
          <v:imagedata r:id="rId1" o:title="RUCONI_membretada-01"/>
          <w10:wrap anchorx="margin" anchory="margin"/>
        </v:shape>
      </w:pic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D728BCA" w14:textId="77777777" w:rsidR="008F7C8C" w:rsidRDefault="00000000">
    <w:pPr>
      <w:pStyle w:val="Encabezado"/>
    </w:pPr>
    <w:r>
      <w:rPr>
        <w:noProof/>
      </w:rPr>
      <w:pict w14:anchorId="6D728BC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33103344" o:spid="_x0000_s1025" type="#_x0000_t75" alt="/Volumes/PULSO DATA/PULSO/Almacén Proyectos/2020/Rusconi&amp;Sauza/Identidad/Aplicaciones V2/Membretada/RUCONI_membretada-01.jpg" style="position:absolute;margin-left:0;margin-top:0;width:612.45pt;height:792.45pt;z-index:-251656192;mso-wrap-edited:f;mso-width-percent:0;mso-height-percent:0;mso-position-horizontal:center;mso-position-horizontal-relative:margin;mso-position-vertical:center;mso-position-vertical-relative:margin;mso-width-percent:0;mso-height-percent:0" o:allowincell="f">
          <v:imagedata r:id="rId1" o:title="RUCONI_membretada-01"/>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7C70ACD"/>
    <w:multiLevelType w:val="hybridMultilevel"/>
    <w:tmpl w:val="BC080AC2"/>
    <w:lvl w:ilvl="0" w:tplc="F9CCB98C">
      <w:start w:val="1"/>
      <w:numFmt w:val="lowerRoman"/>
      <w:lvlText w:val="%1."/>
      <w:lvlJc w:val="left"/>
      <w:pPr>
        <w:ind w:left="1080" w:hanging="720"/>
      </w:pPr>
      <w:rPr>
        <w:rFonts w:hint="default"/>
        <w:lang w:val="es-ES_tradnl"/>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 w15:restartNumberingAfterBreak="0">
    <w:nsid w:val="321E594A"/>
    <w:multiLevelType w:val="hybridMultilevel"/>
    <w:tmpl w:val="58B69FB2"/>
    <w:lvl w:ilvl="0" w:tplc="080A000F">
      <w:start w:val="1"/>
      <w:numFmt w:val="decimal"/>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 w15:restartNumberingAfterBreak="0">
    <w:nsid w:val="4A3C112E"/>
    <w:multiLevelType w:val="hybridMultilevel"/>
    <w:tmpl w:val="2ED2836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78A65C04"/>
    <w:multiLevelType w:val="hybridMultilevel"/>
    <w:tmpl w:val="B776A026"/>
    <w:lvl w:ilvl="0" w:tplc="69DA40AE">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16cid:durableId="2035155978">
    <w:abstractNumId w:val="1"/>
  </w:num>
  <w:num w:numId="2" w16cid:durableId="473372671">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1395739634">
    <w:abstractNumId w:val="2"/>
  </w:num>
  <w:num w:numId="4" w16cid:durableId="136460063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hyphenationZone w:val="425"/>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F7C8C"/>
    <w:rsid w:val="0008191B"/>
    <w:rsid w:val="00086120"/>
    <w:rsid w:val="00164CEF"/>
    <w:rsid w:val="00223D73"/>
    <w:rsid w:val="00274825"/>
    <w:rsid w:val="002F6FB4"/>
    <w:rsid w:val="003237C5"/>
    <w:rsid w:val="00326F16"/>
    <w:rsid w:val="003D1CE5"/>
    <w:rsid w:val="00457DBC"/>
    <w:rsid w:val="00476FF0"/>
    <w:rsid w:val="00507443"/>
    <w:rsid w:val="005B18D1"/>
    <w:rsid w:val="006403E3"/>
    <w:rsid w:val="006D7B26"/>
    <w:rsid w:val="006F289A"/>
    <w:rsid w:val="00783423"/>
    <w:rsid w:val="00792173"/>
    <w:rsid w:val="007A1CE7"/>
    <w:rsid w:val="007B08F4"/>
    <w:rsid w:val="007F36C8"/>
    <w:rsid w:val="00856EC1"/>
    <w:rsid w:val="008E32C8"/>
    <w:rsid w:val="008F7C8C"/>
    <w:rsid w:val="0094665E"/>
    <w:rsid w:val="009C1EF4"/>
    <w:rsid w:val="00B07157"/>
    <w:rsid w:val="00B4025A"/>
    <w:rsid w:val="00CE5508"/>
    <w:rsid w:val="00D012A6"/>
    <w:rsid w:val="00D16B90"/>
    <w:rsid w:val="00E6213D"/>
    <w:rsid w:val="00EA4C04"/>
    <w:rsid w:val="00EB3B47"/>
    <w:rsid w:val="00EE5E59"/>
    <w:rsid w:val="00EF13C2"/>
    <w:rsid w:val="00F92C6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D728BB8"/>
  <w15:chartTrackingRefBased/>
  <w15:docId w15:val="{061C9A78-6CDA-F146-A62F-FDE873B8958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eastAsiaTheme="minorEastAsia"/>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8F7C8C"/>
    <w:pPr>
      <w:tabs>
        <w:tab w:val="center" w:pos="4680"/>
        <w:tab w:val="right" w:pos="9360"/>
      </w:tabs>
    </w:pPr>
  </w:style>
  <w:style w:type="character" w:customStyle="1" w:styleId="EncabezadoCar">
    <w:name w:val="Encabezado Car"/>
    <w:basedOn w:val="Fuentedeprrafopredeter"/>
    <w:link w:val="Encabezado"/>
    <w:uiPriority w:val="99"/>
    <w:rsid w:val="008F7C8C"/>
  </w:style>
  <w:style w:type="paragraph" w:styleId="Piedepgina">
    <w:name w:val="footer"/>
    <w:basedOn w:val="Normal"/>
    <w:link w:val="PiedepginaCar"/>
    <w:uiPriority w:val="99"/>
    <w:unhideWhenUsed/>
    <w:rsid w:val="008F7C8C"/>
    <w:pPr>
      <w:tabs>
        <w:tab w:val="center" w:pos="4680"/>
        <w:tab w:val="right" w:pos="9360"/>
      </w:tabs>
    </w:pPr>
  </w:style>
  <w:style w:type="character" w:customStyle="1" w:styleId="PiedepginaCar">
    <w:name w:val="Pie de página Car"/>
    <w:basedOn w:val="Fuentedeprrafopredeter"/>
    <w:link w:val="Piedepgina"/>
    <w:uiPriority w:val="99"/>
    <w:rsid w:val="008F7C8C"/>
  </w:style>
  <w:style w:type="paragraph" w:styleId="Prrafodelista">
    <w:name w:val="List Paragraph"/>
    <w:basedOn w:val="Normal"/>
    <w:uiPriority w:val="34"/>
    <w:qFormat/>
    <w:rsid w:val="008E32C8"/>
    <w:pPr>
      <w:ind w:left="720"/>
      <w:contextualSpacing/>
    </w:pPr>
  </w:style>
  <w:style w:type="table" w:styleId="Tablaconcuadrcula4-nfasis6">
    <w:name w:val="Grid Table 4 Accent 6"/>
    <w:basedOn w:val="Tablanormal"/>
    <w:uiPriority w:val="49"/>
    <w:rsid w:val="00D012A6"/>
    <w:rPr>
      <w:rFonts w:eastAsiaTheme="minorEastAsia"/>
      <w:sz w:val="22"/>
      <w:szCs w:val="22"/>
      <w:lang w:val="es-MX" w:eastAsia="zh-CN"/>
    </w:rPr>
    <w:tblPr>
      <w:tblStyleRowBandSize w:val="1"/>
      <w:tblStyleColBandSize w:val="1"/>
      <w:tblBorders>
        <w:top w:val="single" w:sz="4" w:space="0" w:color="A8D08D" w:themeColor="accent6" w:themeTint="99"/>
        <w:left w:val="single" w:sz="4" w:space="0" w:color="A8D08D" w:themeColor="accent6" w:themeTint="99"/>
        <w:bottom w:val="single" w:sz="4" w:space="0" w:color="A8D08D" w:themeColor="accent6" w:themeTint="99"/>
        <w:right w:val="single" w:sz="4" w:space="0" w:color="A8D08D" w:themeColor="accent6" w:themeTint="99"/>
        <w:insideH w:val="single" w:sz="4" w:space="0" w:color="A8D08D" w:themeColor="accent6" w:themeTint="99"/>
        <w:insideV w:val="single" w:sz="4" w:space="0" w:color="A8D08D" w:themeColor="accent6" w:themeTint="99"/>
      </w:tblBorders>
    </w:tblPr>
    <w:tblStylePr w:type="firstRow">
      <w:rPr>
        <w:b/>
        <w:bCs/>
        <w:color w:val="FFFFFF" w:themeColor="background1"/>
      </w:rPr>
      <w:tblPr/>
      <w:tcPr>
        <w:tcBorders>
          <w:top w:val="single" w:sz="4" w:space="0" w:color="70AD47" w:themeColor="accent6"/>
          <w:left w:val="single" w:sz="4" w:space="0" w:color="70AD47" w:themeColor="accent6"/>
          <w:bottom w:val="single" w:sz="4" w:space="0" w:color="70AD47" w:themeColor="accent6"/>
          <w:right w:val="single" w:sz="4" w:space="0" w:color="70AD47" w:themeColor="accent6"/>
          <w:insideH w:val="nil"/>
          <w:insideV w:val="nil"/>
        </w:tcBorders>
        <w:shd w:val="clear" w:color="auto" w:fill="70AD47" w:themeFill="accent6"/>
      </w:tcPr>
    </w:tblStylePr>
    <w:tblStylePr w:type="lastRow">
      <w:rPr>
        <w:b/>
        <w:bCs/>
      </w:rPr>
      <w:tblPr/>
      <w:tcPr>
        <w:tcBorders>
          <w:top w:val="double" w:sz="4" w:space="0" w:color="70AD47" w:themeColor="accent6"/>
        </w:tcBorders>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table" w:styleId="Tablaconcuadrcula5oscura-nfasis1">
    <w:name w:val="Grid Table 5 Dark Accent 1"/>
    <w:basedOn w:val="Tablanormal"/>
    <w:uiPriority w:val="50"/>
    <w:rsid w:val="00D012A6"/>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9E2F3"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472C4"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472C4"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472C4"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472C4" w:themeFill="accent1"/>
      </w:tcPr>
    </w:tblStylePr>
    <w:tblStylePr w:type="band1Vert">
      <w:tblPr/>
      <w:tcPr>
        <w:shd w:val="clear" w:color="auto" w:fill="B4C6E7" w:themeFill="accent1" w:themeFillTint="66"/>
      </w:tcPr>
    </w:tblStylePr>
    <w:tblStylePr w:type="band1Horz">
      <w:tblPr/>
      <w:tcPr>
        <w:shd w:val="clear" w:color="auto" w:fill="B4C6E7" w:themeFill="accent1" w:themeFillTint="66"/>
      </w:tcPr>
    </w:tblStylePr>
  </w:style>
  <w:style w:type="table" w:styleId="Tablaconcuadrcula4-nfasis1">
    <w:name w:val="Grid Table 4 Accent 1"/>
    <w:basedOn w:val="Tablanormal"/>
    <w:uiPriority w:val="49"/>
    <w:rsid w:val="00D012A6"/>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insideV w:val="nil"/>
        </w:tcBorders>
        <w:shd w:val="clear" w:color="auto" w:fill="4472C4" w:themeFill="accent1"/>
      </w:tcPr>
    </w:tblStylePr>
    <w:tblStylePr w:type="lastRow">
      <w:rPr>
        <w:b/>
        <w:bCs/>
      </w:rPr>
      <w:tblPr/>
      <w:tcPr>
        <w:tcBorders>
          <w:top w:val="double" w:sz="4" w:space="0" w:color="4472C4" w:themeColor="accent1"/>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table" w:styleId="Tablaconcuadrcula2-nfasis1">
    <w:name w:val="Grid Table 2 Accent 1"/>
    <w:basedOn w:val="Tablanormal"/>
    <w:uiPriority w:val="47"/>
    <w:rsid w:val="00D012A6"/>
    <w:tblPr>
      <w:tblStyleRowBandSize w:val="1"/>
      <w:tblStyleColBandSize w:val="1"/>
      <w:tblBorders>
        <w:top w:val="single" w:sz="2" w:space="0" w:color="8EAADB" w:themeColor="accent1" w:themeTint="99"/>
        <w:bottom w:val="single" w:sz="2" w:space="0" w:color="8EAADB" w:themeColor="accent1" w:themeTint="99"/>
        <w:insideH w:val="single" w:sz="2" w:space="0" w:color="8EAADB" w:themeColor="accent1" w:themeTint="99"/>
        <w:insideV w:val="single" w:sz="2" w:space="0" w:color="8EAADB" w:themeColor="accent1" w:themeTint="99"/>
      </w:tblBorders>
    </w:tblPr>
    <w:tblStylePr w:type="firstRow">
      <w:rPr>
        <w:b/>
        <w:bCs/>
      </w:rPr>
      <w:tblPr/>
      <w:tcPr>
        <w:tcBorders>
          <w:top w:val="nil"/>
          <w:bottom w:val="single" w:sz="12" w:space="0" w:color="8EAADB" w:themeColor="accent1" w:themeTint="99"/>
          <w:insideH w:val="nil"/>
          <w:insideV w:val="nil"/>
        </w:tcBorders>
        <w:shd w:val="clear" w:color="auto" w:fill="FFFFFF" w:themeFill="background1"/>
      </w:tcPr>
    </w:tblStylePr>
    <w:tblStylePr w:type="lastRow">
      <w:rPr>
        <w:b/>
        <w:bCs/>
      </w:rPr>
      <w:tblPr/>
      <w:tcPr>
        <w:tcBorders>
          <w:top w:val="double" w:sz="2" w:space="0" w:color="8EAADB"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20976012">
      <w:bodyDiv w:val="1"/>
      <w:marLeft w:val="0"/>
      <w:marRight w:val="0"/>
      <w:marTop w:val="0"/>
      <w:marBottom w:val="0"/>
      <w:divBdr>
        <w:top w:val="none" w:sz="0" w:space="0" w:color="auto"/>
        <w:left w:val="none" w:sz="0" w:space="0" w:color="auto"/>
        <w:bottom w:val="none" w:sz="0" w:space="0" w:color="auto"/>
        <w:right w:val="none" w:sz="0" w:space="0" w:color="auto"/>
      </w:divBdr>
    </w:div>
    <w:div w:id="1501966523">
      <w:bodyDiv w:val="1"/>
      <w:marLeft w:val="0"/>
      <w:marRight w:val="0"/>
      <w:marTop w:val="0"/>
      <w:marBottom w:val="0"/>
      <w:divBdr>
        <w:top w:val="none" w:sz="0" w:space="0" w:color="auto"/>
        <w:left w:val="none" w:sz="0" w:space="0" w:color="auto"/>
        <w:bottom w:val="none" w:sz="0" w:space="0" w:color="auto"/>
        <w:right w:val="none" w:sz="0" w:space="0" w:color="auto"/>
      </w:divBdr>
      <w:divsChild>
        <w:div w:id="1820806101">
          <w:marLeft w:val="0"/>
          <w:marRight w:val="0"/>
          <w:marTop w:val="0"/>
          <w:marBottom w:val="0"/>
          <w:divBdr>
            <w:top w:val="single" w:sz="2" w:space="0" w:color="auto"/>
            <w:left w:val="single" w:sz="2" w:space="0" w:color="auto"/>
            <w:bottom w:val="single" w:sz="6" w:space="0" w:color="auto"/>
            <w:right w:val="single" w:sz="2" w:space="0" w:color="auto"/>
          </w:divBdr>
          <w:divsChild>
            <w:div w:id="1866871557">
              <w:marLeft w:val="0"/>
              <w:marRight w:val="0"/>
              <w:marTop w:val="100"/>
              <w:marBottom w:val="100"/>
              <w:divBdr>
                <w:top w:val="single" w:sz="2" w:space="0" w:color="D9D9E3"/>
                <w:left w:val="single" w:sz="2" w:space="0" w:color="D9D9E3"/>
                <w:bottom w:val="single" w:sz="2" w:space="0" w:color="D9D9E3"/>
                <w:right w:val="single" w:sz="2" w:space="0" w:color="D9D9E3"/>
              </w:divBdr>
              <w:divsChild>
                <w:div w:id="1125201616">
                  <w:marLeft w:val="0"/>
                  <w:marRight w:val="0"/>
                  <w:marTop w:val="0"/>
                  <w:marBottom w:val="0"/>
                  <w:divBdr>
                    <w:top w:val="single" w:sz="2" w:space="0" w:color="D9D9E3"/>
                    <w:left w:val="single" w:sz="2" w:space="0" w:color="D9D9E3"/>
                    <w:bottom w:val="single" w:sz="2" w:space="0" w:color="D9D9E3"/>
                    <w:right w:val="single" w:sz="2" w:space="0" w:color="D9D9E3"/>
                  </w:divBdr>
                  <w:divsChild>
                    <w:div w:id="1187140629">
                      <w:marLeft w:val="0"/>
                      <w:marRight w:val="0"/>
                      <w:marTop w:val="0"/>
                      <w:marBottom w:val="0"/>
                      <w:divBdr>
                        <w:top w:val="single" w:sz="2" w:space="0" w:color="D9D9E3"/>
                        <w:left w:val="single" w:sz="2" w:space="0" w:color="D9D9E3"/>
                        <w:bottom w:val="single" w:sz="2" w:space="0" w:color="D9D9E3"/>
                        <w:right w:val="single" w:sz="2" w:space="0" w:color="D9D9E3"/>
                      </w:divBdr>
                      <w:divsChild>
                        <w:div w:id="322050655">
                          <w:marLeft w:val="0"/>
                          <w:marRight w:val="0"/>
                          <w:marTop w:val="0"/>
                          <w:marBottom w:val="0"/>
                          <w:divBdr>
                            <w:top w:val="single" w:sz="2" w:space="0" w:color="D9D9E3"/>
                            <w:left w:val="single" w:sz="2" w:space="0" w:color="D9D9E3"/>
                            <w:bottom w:val="single" w:sz="2" w:space="0" w:color="D9D9E3"/>
                            <w:right w:val="single" w:sz="2" w:space="0" w:color="D9D9E3"/>
                          </w:divBdr>
                          <w:divsChild>
                            <w:div w:id="140649460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_rels/header2.xml.rels><?xml version="1.0" encoding="UTF-8" standalone="yes"?>
<Relationships xmlns="http://schemas.openxmlformats.org/package/2006/relationships"><Relationship Id="rId1" Type="http://schemas.openxmlformats.org/officeDocument/2006/relationships/image" Target="media/image1.jpeg"/></Relationships>
</file>

<file path=word/_rels/header3.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31</TotalTime>
  <Pages>3</Pages>
  <Words>544</Words>
  <Characters>3104</Characters>
  <Application>Microsoft Office Word</Application>
  <DocSecurity>0</DocSecurity>
  <Lines>25</Lines>
  <Paragraphs>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3641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Hector Leon</dc:creator>
  <cp:keywords/>
  <dc:description/>
  <cp:lastModifiedBy>Virginia Lòpez</cp:lastModifiedBy>
  <cp:revision>3</cp:revision>
  <cp:lastPrinted>2023-04-26T00:09:00Z</cp:lastPrinted>
  <dcterms:created xsi:type="dcterms:W3CDTF">2023-04-26T00:05:00Z</dcterms:created>
  <dcterms:modified xsi:type="dcterms:W3CDTF">2023-04-26T01:05:00Z</dcterms:modified>
</cp:coreProperties>
</file>