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793C5" w14:textId="686D1689" w:rsidR="003F35AA" w:rsidRDefault="00B803CB" w:rsidP="00647327">
      <w:pPr>
        <w:adjustRightInd w:val="0"/>
        <w:snapToGrid w:val="0"/>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SE</w:t>
      </w:r>
      <w:r w:rsidR="008471BE">
        <w:rPr>
          <w:rFonts w:ascii="Times New Roman" w:hAnsi="Times New Roman" w:cs="Times New Roman"/>
          <w:b/>
          <w:sz w:val="24"/>
          <w:szCs w:val="24"/>
          <w:lang w:val="en-US"/>
        </w:rPr>
        <w:t>TTING UP A COMPANY IN MEXICO</w:t>
      </w:r>
    </w:p>
    <w:p w14:paraId="3EA9B2D9" w14:textId="77777777" w:rsidR="00647327" w:rsidRPr="000F2C90" w:rsidRDefault="00647327" w:rsidP="00647327">
      <w:pPr>
        <w:adjustRightInd w:val="0"/>
        <w:snapToGrid w:val="0"/>
        <w:spacing w:after="0" w:line="240" w:lineRule="auto"/>
        <w:jc w:val="center"/>
        <w:rPr>
          <w:rFonts w:ascii="Times New Roman" w:hAnsi="Times New Roman" w:cs="Times New Roman"/>
          <w:b/>
          <w:sz w:val="24"/>
          <w:szCs w:val="24"/>
          <w:lang w:val="en-US"/>
        </w:rPr>
      </w:pPr>
    </w:p>
    <w:p w14:paraId="4133F646" w14:textId="7B5DDD62" w:rsidR="003F35AA" w:rsidRPr="00D1749A" w:rsidRDefault="003F35AA" w:rsidP="008471BE">
      <w:pPr>
        <w:adjustRightInd w:val="0"/>
        <w:snapToGrid w:val="0"/>
        <w:spacing w:after="0" w:line="240" w:lineRule="auto"/>
        <w:jc w:val="both"/>
        <w:rPr>
          <w:rFonts w:ascii="Times New Roman" w:hAnsi="Times New Roman" w:cs="Times New Roman"/>
          <w:sz w:val="24"/>
          <w:szCs w:val="24"/>
          <w:lang w:val="en-US"/>
        </w:rPr>
      </w:pPr>
    </w:p>
    <w:p w14:paraId="109BC0FD" w14:textId="12A71519" w:rsidR="00110F2B" w:rsidRDefault="00110F2B" w:rsidP="003F35AA">
      <w:pPr>
        <w:shd w:val="clear" w:color="auto" w:fill="FFFFFF"/>
        <w:adjustRightInd w:val="0"/>
        <w:snapToGrid w:val="0"/>
        <w:spacing w:after="240" w:line="360" w:lineRule="auto"/>
        <w:jc w:val="both"/>
        <w:rPr>
          <w:rFonts w:ascii="Times New Roman" w:eastAsia="Times New Roman" w:hAnsi="Times New Roman" w:cs="Times New Roman"/>
          <w:b/>
          <w:color w:val="222222"/>
          <w:sz w:val="24"/>
          <w:szCs w:val="24"/>
          <w:lang w:val="en-US"/>
        </w:rPr>
      </w:pPr>
      <w:r>
        <w:rPr>
          <w:rFonts w:ascii="Times New Roman" w:eastAsia="Times New Roman" w:hAnsi="Times New Roman" w:cs="Times New Roman"/>
          <w:color w:val="222222"/>
          <w:sz w:val="24"/>
          <w:szCs w:val="24"/>
          <w:lang w:val="en-US"/>
        </w:rPr>
        <w:t>The following paragraphs contain a general overview of the</w:t>
      </w:r>
      <w:r w:rsidR="000C6659">
        <w:rPr>
          <w:rFonts w:ascii="Times New Roman" w:eastAsia="Times New Roman" w:hAnsi="Times New Roman" w:cs="Times New Roman"/>
          <w:color w:val="222222"/>
          <w:sz w:val="24"/>
          <w:szCs w:val="24"/>
          <w:lang w:val="en-US"/>
        </w:rPr>
        <w:t xml:space="preserve"> most common types of companies in Mexico, as well as the process necessary for </w:t>
      </w:r>
      <w:r w:rsidR="008471BE">
        <w:rPr>
          <w:rFonts w:ascii="Times New Roman" w:eastAsia="Times New Roman" w:hAnsi="Times New Roman" w:cs="Times New Roman"/>
          <w:color w:val="222222"/>
          <w:sz w:val="24"/>
          <w:szCs w:val="24"/>
          <w:lang w:val="en-US"/>
        </w:rPr>
        <w:t>their incorporation.</w:t>
      </w:r>
    </w:p>
    <w:p w14:paraId="01EBB4F3" w14:textId="2E3A60AE" w:rsidR="003F35AA" w:rsidRPr="003F35AA" w:rsidRDefault="003F35AA" w:rsidP="003F35AA">
      <w:pPr>
        <w:shd w:val="clear" w:color="auto" w:fill="FFFFFF"/>
        <w:adjustRightInd w:val="0"/>
        <w:snapToGrid w:val="0"/>
        <w:spacing w:after="240" w:line="360" w:lineRule="auto"/>
        <w:jc w:val="both"/>
        <w:rPr>
          <w:rFonts w:ascii="Times New Roman" w:eastAsia="Times New Roman" w:hAnsi="Times New Roman" w:cs="Times New Roman"/>
          <w:b/>
          <w:color w:val="222222"/>
          <w:sz w:val="24"/>
          <w:szCs w:val="24"/>
        </w:rPr>
      </w:pPr>
      <w:r w:rsidRPr="003F35AA">
        <w:rPr>
          <w:rFonts w:ascii="Times New Roman" w:eastAsia="Times New Roman" w:hAnsi="Times New Roman" w:cs="Times New Roman"/>
          <w:b/>
          <w:color w:val="222222"/>
          <w:sz w:val="24"/>
          <w:szCs w:val="24"/>
          <w:lang w:val="en-US"/>
        </w:rPr>
        <w:t>1. TYPES OF CORPORATION</w:t>
      </w:r>
    </w:p>
    <w:p w14:paraId="4A89710C" w14:textId="177D92C6" w:rsidR="003F35AA" w:rsidRPr="003F35AA" w:rsidRDefault="003F35AA" w:rsidP="003F35AA">
      <w:pPr>
        <w:shd w:val="clear" w:color="auto" w:fill="FFFFFF"/>
        <w:adjustRightInd w:val="0"/>
        <w:snapToGrid w:val="0"/>
        <w:spacing w:after="240" w:line="360" w:lineRule="auto"/>
        <w:jc w:val="both"/>
        <w:rPr>
          <w:rFonts w:ascii="Times New Roman" w:eastAsia="Times New Roman" w:hAnsi="Times New Roman" w:cs="Times New Roman"/>
          <w:color w:val="222222"/>
          <w:sz w:val="24"/>
          <w:szCs w:val="24"/>
        </w:rPr>
      </w:pPr>
      <w:r w:rsidRPr="003F35AA">
        <w:rPr>
          <w:rFonts w:ascii="Times New Roman" w:eastAsia="Times New Roman" w:hAnsi="Times New Roman" w:cs="Times New Roman"/>
          <w:color w:val="222222"/>
          <w:sz w:val="24"/>
          <w:szCs w:val="24"/>
          <w:lang w:val="en-US"/>
        </w:rPr>
        <w:t xml:space="preserve">There are many types of corporations in Mexico. However, the most common types are the Sociedad Anónima de Capital Variable or S.A. de C.V. (Joint Stock Company), </w:t>
      </w:r>
      <w:r w:rsidR="001E362C">
        <w:rPr>
          <w:rFonts w:ascii="Times New Roman" w:eastAsia="Times New Roman" w:hAnsi="Times New Roman" w:cs="Times New Roman"/>
          <w:color w:val="222222"/>
          <w:sz w:val="24"/>
          <w:szCs w:val="24"/>
          <w:lang w:val="en-US"/>
        </w:rPr>
        <w:t xml:space="preserve">the </w:t>
      </w:r>
      <w:r w:rsidR="001E362C" w:rsidRPr="003F35AA">
        <w:rPr>
          <w:rFonts w:ascii="Times New Roman" w:eastAsia="Times New Roman" w:hAnsi="Times New Roman" w:cs="Times New Roman"/>
          <w:color w:val="222222"/>
          <w:sz w:val="24"/>
          <w:szCs w:val="24"/>
          <w:lang w:val="en-US"/>
        </w:rPr>
        <w:t xml:space="preserve">Sociedad Anónima </w:t>
      </w:r>
      <w:r w:rsidR="001E362C">
        <w:rPr>
          <w:rFonts w:ascii="Times New Roman" w:eastAsia="Times New Roman" w:hAnsi="Times New Roman" w:cs="Times New Roman"/>
          <w:color w:val="222222"/>
          <w:sz w:val="24"/>
          <w:szCs w:val="24"/>
          <w:lang w:val="en-US"/>
        </w:rPr>
        <w:t xml:space="preserve">Promotora de Inversión de </w:t>
      </w:r>
      <w:r w:rsidR="001E362C" w:rsidRPr="003F35AA">
        <w:rPr>
          <w:rFonts w:ascii="Times New Roman" w:eastAsia="Times New Roman" w:hAnsi="Times New Roman" w:cs="Times New Roman"/>
          <w:color w:val="222222"/>
          <w:sz w:val="24"/>
          <w:szCs w:val="24"/>
          <w:lang w:val="en-US"/>
        </w:rPr>
        <w:t>Capital Variable or S.A.</w:t>
      </w:r>
      <w:r w:rsidR="001E362C">
        <w:rPr>
          <w:rFonts w:ascii="Times New Roman" w:eastAsia="Times New Roman" w:hAnsi="Times New Roman" w:cs="Times New Roman"/>
          <w:color w:val="222222"/>
          <w:sz w:val="24"/>
          <w:szCs w:val="24"/>
          <w:lang w:val="en-US"/>
        </w:rPr>
        <w:t>P.I.</w:t>
      </w:r>
      <w:r w:rsidR="001E362C" w:rsidRPr="003F35AA">
        <w:rPr>
          <w:rFonts w:ascii="Times New Roman" w:eastAsia="Times New Roman" w:hAnsi="Times New Roman" w:cs="Times New Roman"/>
          <w:color w:val="222222"/>
          <w:sz w:val="24"/>
          <w:szCs w:val="24"/>
          <w:lang w:val="en-US"/>
        </w:rPr>
        <w:t xml:space="preserve"> de C.V. (</w:t>
      </w:r>
      <w:r w:rsidR="00792316">
        <w:rPr>
          <w:rFonts w:ascii="Times New Roman" w:eastAsia="Times New Roman" w:hAnsi="Times New Roman" w:cs="Times New Roman"/>
          <w:color w:val="222222"/>
          <w:sz w:val="24"/>
          <w:szCs w:val="24"/>
          <w:lang w:val="en-US"/>
        </w:rPr>
        <w:t xml:space="preserve">Investment Promotion </w:t>
      </w:r>
      <w:r w:rsidR="001E362C" w:rsidRPr="003F35AA">
        <w:rPr>
          <w:rFonts w:ascii="Times New Roman" w:eastAsia="Times New Roman" w:hAnsi="Times New Roman" w:cs="Times New Roman"/>
          <w:color w:val="222222"/>
          <w:sz w:val="24"/>
          <w:szCs w:val="24"/>
          <w:lang w:val="en-US"/>
        </w:rPr>
        <w:t>Joint Stock Company),</w:t>
      </w:r>
      <w:r w:rsidR="001E362C">
        <w:rPr>
          <w:rFonts w:ascii="Times New Roman" w:eastAsia="Times New Roman" w:hAnsi="Times New Roman" w:cs="Times New Roman"/>
          <w:color w:val="222222"/>
          <w:sz w:val="24"/>
          <w:szCs w:val="24"/>
          <w:lang w:val="en-US"/>
        </w:rPr>
        <w:t xml:space="preserve"> </w:t>
      </w:r>
      <w:r w:rsidRPr="003F35AA">
        <w:rPr>
          <w:rFonts w:ascii="Times New Roman" w:eastAsia="Times New Roman" w:hAnsi="Times New Roman" w:cs="Times New Roman"/>
          <w:color w:val="222222"/>
          <w:sz w:val="24"/>
          <w:szCs w:val="24"/>
          <w:lang w:val="en-US"/>
        </w:rPr>
        <w:t>the Sociedad de Responsabilidad Limitada de Capital Variable or S.R.L. de C.V. (Limited Liability Company), and more recently, the Sociedad por Acciones Simplificada, or S.A.S. (Simplified Joint Stock Company).</w:t>
      </w:r>
    </w:p>
    <w:p w14:paraId="15C2A320" w14:textId="19C54DF0" w:rsidR="003F35AA" w:rsidRDefault="003F35AA" w:rsidP="003F35AA">
      <w:pPr>
        <w:shd w:val="clear" w:color="auto" w:fill="FFFFFF"/>
        <w:adjustRightInd w:val="0"/>
        <w:snapToGrid w:val="0"/>
        <w:spacing w:after="240" w:line="360" w:lineRule="auto"/>
        <w:jc w:val="both"/>
        <w:rPr>
          <w:rFonts w:ascii="Times New Roman" w:eastAsia="Times New Roman" w:hAnsi="Times New Roman" w:cs="Times New Roman"/>
          <w:color w:val="222222"/>
          <w:sz w:val="24"/>
          <w:szCs w:val="24"/>
          <w:lang w:val="en-US"/>
        </w:rPr>
      </w:pPr>
      <w:r w:rsidRPr="003F35AA">
        <w:rPr>
          <w:rFonts w:ascii="Times New Roman" w:eastAsia="Times New Roman" w:hAnsi="Times New Roman" w:cs="Times New Roman"/>
          <w:color w:val="222222"/>
          <w:sz w:val="24"/>
          <w:szCs w:val="24"/>
          <w:lang w:val="en-US"/>
        </w:rPr>
        <w:t xml:space="preserve">The S.A. de C.V., is a negotiable stock corporation of two or more partners, whose liability is limited to the capital that is contributed. </w:t>
      </w:r>
      <w:r w:rsidR="00792316">
        <w:rPr>
          <w:rFonts w:ascii="Times New Roman" w:eastAsia="Times New Roman" w:hAnsi="Times New Roman" w:cs="Times New Roman"/>
          <w:color w:val="222222"/>
          <w:sz w:val="24"/>
          <w:szCs w:val="24"/>
          <w:lang w:val="en-US"/>
        </w:rPr>
        <w:t xml:space="preserve">The S.A.P.I. de C.V. is </w:t>
      </w:r>
      <w:r w:rsidR="004227E2">
        <w:rPr>
          <w:rFonts w:ascii="Times New Roman" w:eastAsia="Times New Roman" w:hAnsi="Times New Roman" w:cs="Times New Roman"/>
          <w:color w:val="222222"/>
          <w:sz w:val="24"/>
          <w:szCs w:val="24"/>
          <w:lang w:val="en-US"/>
        </w:rPr>
        <w:t xml:space="preserve">also a negotiable stock corporation which allows for </w:t>
      </w:r>
      <w:r w:rsidR="003E2E8E">
        <w:rPr>
          <w:rFonts w:ascii="Times New Roman" w:eastAsia="Times New Roman" w:hAnsi="Times New Roman" w:cs="Times New Roman"/>
          <w:color w:val="222222"/>
          <w:sz w:val="24"/>
          <w:szCs w:val="24"/>
          <w:lang w:val="en-US"/>
        </w:rPr>
        <w:t xml:space="preserve">a </w:t>
      </w:r>
      <w:r w:rsidR="004227E2">
        <w:rPr>
          <w:rFonts w:ascii="Times New Roman" w:eastAsia="Times New Roman" w:hAnsi="Times New Roman" w:cs="Times New Roman"/>
          <w:color w:val="222222"/>
          <w:sz w:val="24"/>
          <w:szCs w:val="24"/>
          <w:lang w:val="en-US"/>
        </w:rPr>
        <w:t>more flexible shareholding organization</w:t>
      </w:r>
      <w:r w:rsidR="003E2E8E">
        <w:rPr>
          <w:rFonts w:ascii="Times New Roman" w:eastAsia="Times New Roman" w:hAnsi="Times New Roman" w:cs="Times New Roman"/>
          <w:color w:val="222222"/>
          <w:sz w:val="24"/>
          <w:szCs w:val="24"/>
          <w:lang w:val="en-US"/>
        </w:rPr>
        <w:t xml:space="preserve"> (usually, but not exclusively, used for listed companies at the stock market).</w:t>
      </w:r>
      <w:r w:rsidR="004227E2">
        <w:rPr>
          <w:rFonts w:ascii="Times New Roman" w:eastAsia="Times New Roman" w:hAnsi="Times New Roman" w:cs="Times New Roman"/>
          <w:color w:val="222222"/>
          <w:sz w:val="24"/>
          <w:szCs w:val="24"/>
          <w:lang w:val="en-US"/>
        </w:rPr>
        <w:t xml:space="preserve"> </w:t>
      </w:r>
      <w:r w:rsidRPr="003F35AA">
        <w:rPr>
          <w:rFonts w:ascii="Times New Roman" w:eastAsia="Times New Roman" w:hAnsi="Times New Roman" w:cs="Times New Roman"/>
          <w:color w:val="222222"/>
          <w:sz w:val="24"/>
          <w:szCs w:val="24"/>
          <w:lang w:val="en-US"/>
        </w:rPr>
        <w:t>The S.R.L. de C.V. is a non-negotiable stock limited liability corporation of two or more partners, whose liability is also limited to the capital that is contributed to the company. The S.A.S. is a negotiable stock corporation composed of at least one partner, whose liability is also limited to the contributed capital. This corporate form, however, is only available to companies which annual income does not surpass a $5,000,000 pesos threshold.</w:t>
      </w:r>
    </w:p>
    <w:p w14:paraId="66F8D1F9" w14:textId="539498BC" w:rsidR="003F35AA" w:rsidRDefault="003F35AA" w:rsidP="003F35AA">
      <w:pPr>
        <w:shd w:val="clear" w:color="auto" w:fill="FFFFFF"/>
        <w:adjustRightInd w:val="0"/>
        <w:snapToGrid w:val="0"/>
        <w:spacing w:after="240" w:line="360" w:lineRule="auto"/>
        <w:jc w:val="both"/>
        <w:rPr>
          <w:rFonts w:ascii="Times New Roman" w:eastAsia="Times New Roman" w:hAnsi="Times New Roman" w:cs="Times New Roman"/>
          <w:color w:val="222222"/>
          <w:sz w:val="24"/>
          <w:szCs w:val="24"/>
          <w:lang w:val="en-US"/>
        </w:rPr>
      </w:pPr>
      <w:r w:rsidRPr="003F35AA">
        <w:rPr>
          <w:rFonts w:ascii="Times New Roman" w:eastAsia="Times New Roman" w:hAnsi="Times New Roman" w:cs="Times New Roman"/>
          <w:color w:val="222222"/>
          <w:sz w:val="24"/>
          <w:szCs w:val="24"/>
          <w:lang w:val="en-US"/>
        </w:rPr>
        <w:t>The most common corporate form used in Mexico, by far, is the S.A. de C.V. This is so due to the flexibility allowed by the possibility of negotiating and transfering its stock, and to the absence of any limit to the income that it might generate.</w:t>
      </w:r>
    </w:p>
    <w:p w14:paraId="06B44868" w14:textId="4D4A64AB" w:rsidR="003E2E8E" w:rsidRDefault="003E2E8E" w:rsidP="003F35AA">
      <w:pPr>
        <w:shd w:val="clear" w:color="auto" w:fill="FFFFFF"/>
        <w:adjustRightInd w:val="0"/>
        <w:snapToGrid w:val="0"/>
        <w:spacing w:after="240" w:line="360" w:lineRule="auto"/>
        <w:jc w:val="both"/>
        <w:rPr>
          <w:rFonts w:ascii="Times New Roman" w:eastAsia="Times New Roman" w:hAnsi="Times New Roman" w:cs="Times New Roman"/>
          <w:color w:val="222222"/>
          <w:sz w:val="24"/>
          <w:szCs w:val="24"/>
        </w:rPr>
      </w:pPr>
    </w:p>
    <w:p w14:paraId="3A04D860" w14:textId="77777777" w:rsidR="003E2E8E" w:rsidRPr="003F35AA" w:rsidRDefault="003E2E8E" w:rsidP="003F35AA">
      <w:pPr>
        <w:shd w:val="clear" w:color="auto" w:fill="FFFFFF"/>
        <w:adjustRightInd w:val="0"/>
        <w:snapToGrid w:val="0"/>
        <w:spacing w:after="240" w:line="360" w:lineRule="auto"/>
        <w:jc w:val="both"/>
        <w:rPr>
          <w:rFonts w:ascii="Times New Roman" w:eastAsia="Times New Roman" w:hAnsi="Times New Roman" w:cs="Times New Roman"/>
          <w:color w:val="222222"/>
          <w:sz w:val="24"/>
          <w:szCs w:val="24"/>
        </w:rPr>
      </w:pPr>
    </w:p>
    <w:p w14:paraId="729C2501" w14:textId="77777777" w:rsidR="003F35AA" w:rsidRPr="003F35AA" w:rsidRDefault="003F35AA" w:rsidP="003F35AA">
      <w:pPr>
        <w:shd w:val="clear" w:color="auto" w:fill="FFFFFF"/>
        <w:adjustRightInd w:val="0"/>
        <w:snapToGrid w:val="0"/>
        <w:spacing w:after="240" w:line="360" w:lineRule="auto"/>
        <w:jc w:val="both"/>
        <w:rPr>
          <w:rFonts w:ascii="Times New Roman" w:eastAsia="Times New Roman" w:hAnsi="Times New Roman" w:cs="Times New Roman"/>
          <w:b/>
          <w:color w:val="222222"/>
          <w:sz w:val="24"/>
          <w:szCs w:val="24"/>
        </w:rPr>
      </w:pPr>
      <w:r w:rsidRPr="003F35AA">
        <w:rPr>
          <w:rFonts w:ascii="Times New Roman" w:eastAsia="Times New Roman" w:hAnsi="Times New Roman" w:cs="Times New Roman"/>
          <w:b/>
          <w:color w:val="222222"/>
          <w:sz w:val="24"/>
          <w:szCs w:val="24"/>
          <w:lang w:val="en-US"/>
        </w:rPr>
        <w:lastRenderedPageBreak/>
        <w:t>2. BRANCH VS. SUBSIDIARY</w:t>
      </w:r>
    </w:p>
    <w:p w14:paraId="6B44989D" w14:textId="77777777" w:rsidR="003F35AA" w:rsidRPr="003F35AA" w:rsidRDefault="003F35AA" w:rsidP="003F35AA">
      <w:pPr>
        <w:shd w:val="clear" w:color="auto" w:fill="FFFFFF"/>
        <w:adjustRightInd w:val="0"/>
        <w:snapToGrid w:val="0"/>
        <w:spacing w:after="240" w:line="360" w:lineRule="auto"/>
        <w:jc w:val="both"/>
        <w:rPr>
          <w:rFonts w:ascii="Times New Roman" w:eastAsia="Times New Roman" w:hAnsi="Times New Roman" w:cs="Times New Roman"/>
          <w:color w:val="222222"/>
          <w:sz w:val="24"/>
          <w:szCs w:val="24"/>
        </w:rPr>
      </w:pPr>
      <w:r w:rsidRPr="003F35AA">
        <w:rPr>
          <w:rFonts w:ascii="Times New Roman" w:eastAsia="Times New Roman" w:hAnsi="Times New Roman" w:cs="Times New Roman"/>
          <w:color w:val="222222"/>
          <w:sz w:val="24"/>
          <w:szCs w:val="24"/>
          <w:lang w:val="en-US"/>
        </w:rPr>
        <w:t>The practical advantages of operating in Mexico with a branch, and not with a Mexican subsidiary, would derive from the possibility to save the costs associated with setting up a Mexican legal entity. This might be convenient, when the presence in Mexico will not be long, and when the business model allows to operate the activities in Mexico as part of a single unit integrated with the one already existing in a different country, for accounting purposes.</w:t>
      </w:r>
    </w:p>
    <w:p w14:paraId="419FA59D" w14:textId="77777777" w:rsidR="003F35AA" w:rsidRPr="003F35AA" w:rsidRDefault="003F35AA" w:rsidP="003F35AA">
      <w:pPr>
        <w:shd w:val="clear" w:color="auto" w:fill="FFFFFF"/>
        <w:adjustRightInd w:val="0"/>
        <w:snapToGrid w:val="0"/>
        <w:spacing w:after="240" w:line="360" w:lineRule="auto"/>
        <w:jc w:val="both"/>
        <w:rPr>
          <w:rFonts w:ascii="Times New Roman" w:eastAsia="Times New Roman" w:hAnsi="Times New Roman" w:cs="Times New Roman"/>
          <w:color w:val="222222"/>
          <w:sz w:val="24"/>
          <w:szCs w:val="24"/>
        </w:rPr>
      </w:pPr>
      <w:r w:rsidRPr="003F35AA">
        <w:rPr>
          <w:rFonts w:ascii="Times New Roman" w:eastAsia="Times New Roman" w:hAnsi="Times New Roman" w:cs="Times New Roman"/>
          <w:color w:val="222222"/>
          <w:sz w:val="24"/>
          <w:szCs w:val="24"/>
          <w:lang w:val="en-US"/>
        </w:rPr>
        <w:t>However, if that is not the case, a subsidiary would render greater advantages when operating in Mexico. Among the greater advantages derived from setting up a subsidiary, we can mention the following:</w:t>
      </w:r>
    </w:p>
    <w:p w14:paraId="24A14523" w14:textId="77777777" w:rsidR="003F35AA" w:rsidRPr="003F35AA" w:rsidRDefault="003F35AA" w:rsidP="003F35AA">
      <w:pPr>
        <w:pStyle w:val="Prrafodelista"/>
        <w:numPr>
          <w:ilvl w:val="0"/>
          <w:numId w:val="2"/>
        </w:numPr>
        <w:shd w:val="clear" w:color="auto" w:fill="FFFFFF"/>
        <w:adjustRightInd w:val="0"/>
        <w:snapToGrid w:val="0"/>
        <w:spacing w:after="240" w:line="360" w:lineRule="auto"/>
        <w:contextualSpacing w:val="0"/>
        <w:jc w:val="both"/>
        <w:rPr>
          <w:rFonts w:ascii="Times New Roman" w:eastAsia="Times New Roman" w:hAnsi="Times New Roman" w:cs="Times New Roman"/>
          <w:color w:val="222222"/>
          <w:sz w:val="24"/>
          <w:szCs w:val="24"/>
        </w:rPr>
      </w:pPr>
      <w:r w:rsidRPr="003F35AA">
        <w:rPr>
          <w:rFonts w:ascii="Times New Roman" w:eastAsia="Times New Roman" w:hAnsi="Times New Roman" w:cs="Times New Roman"/>
          <w:color w:val="222222"/>
          <w:sz w:val="24"/>
          <w:szCs w:val="24"/>
          <w:lang w:val="en-US"/>
        </w:rPr>
        <w:t>Greater ease to comply with Mexican tax obligations. Importantly, setting up a subsidiary greatly diminishes the burdens associated with the attribution of profits to a Mexican permanent establishment;</w:t>
      </w:r>
    </w:p>
    <w:p w14:paraId="59E62608" w14:textId="77777777" w:rsidR="003F35AA" w:rsidRPr="003F35AA" w:rsidRDefault="003F35AA" w:rsidP="003F35AA">
      <w:pPr>
        <w:pStyle w:val="Prrafodelista"/>
        <w:numPr>
          <w:ilvl w:val="0"/>
          <w:numId w:val="2"/>
        </w:numPr>
        <w:shd w:val="clear" w:color="auto" w:fill="FFFFFF"/>
        <w:adjustRightInd w:val="0"/>
        <w:snapToGrid w:val="0"/>
        <w:spacing w:after="240" w:line="360" w:lineRule="auto"/>
        <w:contextualSpacing w:val="0"/>
        <w:jc w:val="both"/>
        <w:rPr>
          <w:rFonts w:ascii="Times New Roman" w:eastAsia="Times New Roman" w:hAnsi="Times New Roman" w:cs="Times New Roman"/>
          <w:color w:val="222222"/>
          <w:sz w:val="24"/>
          <w:szCs w:val="24"/>
        </w:rPr>
      </w:pPr>
      <w:r w:rsidRPr="003F35AA">
        <w:rPr>
          <w:rFonts w:ascii="Times New Roman" w:eastAsia="Times New Roman" w:hAnsi="Times New Roman" w:cs="Times New Roman"/>
          <w:color w:val="222222"/>
          <w:sz w:val="24"/>
          <w:szCs w:val="24"/>
          <w:lang w:val="en-US"/>
        </w:rPr>
        <w:t>Greater ease when contracting with Mexican private counterparties. Even though it is possible to deduct payments made to foreign counterparties, most private contractors will require Mexican-issued invoices, which are more easily deductible;</w:t>
      </w:r>
    </w:p>
    <w:p w14:paraId="6D4DE455" w14:textId="77777777" w:rsidR="003F35AA" w:rsidRPr="003F35AA" w:rsidRDefault="003F35AA" w:rsidP="003F35AA">
      <w:pPr>
        <w:pStyle w:val="Prrafodelista"/>
        <w:numPr>
          <w:ilvl w:val="0"/>
          <w:numId w:val="2"/>
        </w:numPr>
        <w:shd w:val="clear" w:color="auto" w:fill="FFFFFF"/>
        <w:adjustRightInd w:val="0"/>
        <w:snapToGrid w:val="0"/>
        <w:spacing w:after="240" w:line="360" w:lineRule="auto"/>
        <w:contextualSpacing w:val="0"/>
        <w:jc w:val="both"/>
        <w:rPr>
          <w:rFonts w:ascii="Times New Roman" w:eastAsia="Times New Roman" w:hAnsi="Times New Roman" w:cs="Times New Roman"/>
          <w:color w:val="222222"/>
          <w:sz w:val="24"/>
          <w:szCs w:val="24"/>
        </w:rPr>
      </w:pPr>
      <w:r w:rsidRPr="003F35AA">
        <w:rPr>
          <w:rFonts w:ascii="Times New Roman" w:eastAsia="Times New Roman" w:hAnsi="Times New Roman" w:cs="Times New Roman"/>
          <w:color w:val="222222"/>
          <w:sz w:val="24"/>
          <w:szCs w:val="24"/>
          <w:lang w:val="en-US"/>
        </w:rPr>
        <w:t>Greater ease when contracting with the government, which most of the time requires contractors to establish a legal presence in Mexico;</w:t>
      </w:r>
    </w:p>
    <w:p w14:paraId="603D9281" w14:textId="77777777" w:rsidR="003F35AA" w:rsidRPr="003F35AA" w:rsidRDefault="003F35AA" w:rsidP="003F35AA">
      <w:pPr>
        <w:pStyle w:val="Prrafodelista"/>
        <w:numPr>
          <w:ilvl w:val="0"/>
          <w:numId w:val="2"/>
        </w:numPr>
        <w:shd w:val="clear" w:color="auto" w:fill="FFFFFF"/>
        <w:adjustRightInd w:val="0"/>
        <w:snapToGrid w:val="0"/>
        <w:spacing w:after="240" w:line="360" w:lineRule="auto"/>
        <w:contextualSpacing w:val="0"/>
        <w:jc w:val="both"/>
        <w:rPr>
          <w:rFonts w:ascii="Times New Roman" w:eastAsia="Times New Roman" w:hAnsi="Times New Roman" w:cs="Times New Roman"/>
          <w:color w:val="222222"/>
          <w:sz w:val="24"/>
          <w:szCs w:val="24"/>
        </w:rPr>
      </w:pPr>
      <w:r w:rsidRPr="003F35AA">
        <w:rPr>
          <w:rFonts w:ascii="Times New Roman" w:eastAsia="Times New Roman" w:hAnsi="Times New Roman" w:cs="Times New Roman"/>
          <w:color w:val="222222"/>
          <w:sz w:val="24"/>
          <w:szCs w:val="24"/>
          <w:lang w:val="en-US"/>
        </w:rPr>
        <w:t>Greater ease when complying with federal and local regulations;</w:t>
      </w:r>
    </w:p>
    <w:p w14:paraId="352A41FF" w14:textId="77777777" w:rsidR="003F35AA" w:rsidRPr="003F35AA" w:rsidRDefault="003F35AA" w:rsidP="003F35AA">
      <w:pPr>
        <w:pStyle w:val="Prrafodelista"/>
        <w:numPr>
          <w:ilvl w:val="0"/>
          <w:numId w:val="2"/>
        </w:numPr>
        <w:shd w:val="clear" w:color="auto" w:fill="FFFFFF"/>
        <w:adjustRightInd w:val="0"/>
        <w:snapToGrid w:val="0"/>
        <w:spacing w:after="240" w:line="360" w:lineRule="auto"/>
        <w:contextualSpacing w:val="0"/>
        <w:jc w:val="both"/>
        <w:rPr>
          <w:rFonts w:ascii="Times New Roman" w:eastAsia="Times New Roman" w:hAnsi="Times New Roman" w:cs="Times New Roman"/>
          <w:color w:val="222222"/>
          <w:sz w:val="24"/>
          <w:szCs w:val="24"/>
        </w:rPr>
      </w:pPr>
      <w:r w:rsidRPr="003F35AA">
        <w:rPr>
          <w:rFonts w:ascii="Times New Roman" w:eastAsia="Times New Roman" w:hAnsi="Times New Roman" w:cs="Times New Roman"/>
          <w:color w:val="222222"/>
          <w:sz w:val="24"/>
          <w:szCs w:val="24"/>
          <w:lang w:val="en-US"/>
        </w:rPr>
        <w:t>Greater ease when opening bank accounts; and</w:t>
      </w:r>
    </w:p>
    <w:p w14:paraId="31329307" w14:textId="77777777" w:rsidR="003F35AA" w:rsidRPr="003F35AA" w:rsidRDefault="003F35AA" w:rsidP="003F35AA">
      <w:pPr>
        <w:pStyle w:val="Prrafodelista"/>
        <w:numPr>
          <w:ilvl w:val="0"/>
          <w:numId w:val="2"/>
        </w:numPr>
        <w:shd w:val="clear" w:color="auto" w:fill="FFFFFF"/>
        <w:adjustRightInd w:val="0"/>
        <w:snapToGrid w:val="0"/>
        <w:spacing w:after="240" w:line="360" w:lineRule="auto"/>
        <w:contextualSpacing w:val="0"/>
        <w:jc w:val="both"/>
        <w:rPr>
          <w:rFonts w:ascii="Times New Roman" w:eastAsia="Times New Roman" w:hAnsi="Times New Roman" w:cs="Times New Roman"/>
          <w:color w:val="222222"/>
          <w:sz w:val="24"/>
          <w:szCs w:val="24"/>
        </w:rPr>
      </w:pPr>
      <w:r w:rsidRPr="003F35AA">
        <w:rPr>
          <w:rFonts w:ascii="Times New Roman" w:eastAsia="Times New Roman" w:hAnsi="Times New Roman" w:cs="Times New Roman"/>
          <w:color w:val="222222"/>
          <w:sz w:val="24"/>
          <w:szCs w:val="24"/>
          <w:lang w:val="en-US"/>
        </w:rPr>
        <w:t>More control over the attribution of profits and expenses to the Mexican operations, for financial purposes.</w:t>
      </w:r>
    </w:p>
    <w:p w14:paraId="486E5FD3" w14:textId="77777777" w:rsidR="003E2E8E" w:rsidRDefault="003E2E8E" w:rsidP="003F35AA">
      <w:pPr>
        <w:shd w:val="clear" w:color="auto" w:fill="FFFFFF"/>
        <w:adjustRightInd w:val="0"/>
        <w:snapToGrid w:val="0"/>
        <w:spacing w:after="240" w:line="360" w:lineRule="auto"/>
        <w:jc w:val="both"/>
        <w:rPr>
          <w:rFonts w:ascii="Times New Roman" w:eastAsia="Times New Roman" w:hAnsi="Times New Roman" w:cs="Times New Roman"/>
          <w:b/>
          <w:color w:val="222222"/>
          <w:sz w:val="24"/>
          <w:szCs w:val="24"/>
          <w:lang w:val="en-US"/>
        </w:rPr>
      </w:pPr>
    </w:p>
    <w:p w14:paraId="7C3F40A4" w14:textId="66EDB610" w:rsidR="003F35AA" w:rsidRPr="003F35AA" w:rsidRDefault="003F35AA" w:rsidP="003F35AA">
      <w:pPr>
        <w:shd w:val="clear" w:color="auto" w:fill="FFFFFF"/>
        <w:adjustRightInd w:val="0"/>
        <w:snapToGrid w:val="0"/>
        <w:spacing w:after="240" w:line="360" w:lineRule="auto"/>
        <w:jc w:val="both"/>
        <w:rPr>
          <w:rFonts w:ascii="Times New Roman" w:eastAsia="Times New Roman" w:hAnsi="Times New Roman" w:cs="Times New Roman"/>
          <w:b/>
          <w:color w:val="222222"/>
          <w:sz w:val="24"/>
          <w:szCs w:val="24"/>
        </w:rPr>
      </w:pPr>
      <w:r w:rsidRPr="003F35AA">
        <w:rPr>
          <w:rFonts w:ascii="Times New Roman" w:eastAsia="Times New Roman" w:hAnsi="Times New Roman" w:cs="Times New Roman"/>
          <w:b/>
          <w:color w:val="222222"/>
          <w:sz w:val="24"/>
          <w:szCs w:val="24"/>
          <w:lang w:val="en-US"/>
        </w:rPr>
        <w:lastRenderedPageBreak/>
        <w:t>3. TIMES AND PROCEDURES</w:t>
      </w:r>
    </w:p>
    <w:p w14:paraId="219FD043" w14:textId="040671F6" w:rsidR="003F35AA" w:rsidRPr="003F35AA" w:rsidRDefault="003F35AA" w:rsidP="003F35AA">
      <w:pPr>
        <w:shd w:val="clear" w:color="auto" w:fill="FFFFFF"/>
        <w:adjustRightInd w:val="0"/>
        <w:snapToGrid w:val="0"/>
        <w:spacing w:after="240" w:line="360" w:lineRule="auto"/>
        <w:jc w:val="both"/>
        <w:rPr>
          <w:rFonts w:ascii="Times New Roman" w:eastAsia="Times New Roman" w:hAnsi="Times New Roman" w:cs="Times New Roman"/>
          <w:color w:val="222222"/>
          <w:sz w:val="24"/>
          <w:szCs w:val="24"/>
        </w:rPr>
      </w:pPr>
      <w:r w:rsidRPr="006E7872">
        <w:rPr>
          <w:rFonts w:ascii="Times New Roman" w:eastAsia="Times New Roman" w:hAnsi="Times New Roman" w:cs="Times New Roman"/>
          <w:color w:val="222222"/>
          <w:sz w:val="24"/>
          <w:szCs w:val="24"/>
          <w:lang w:val="en-US"/>
        </w:rPr>
        <w:t>An S.A. de C.V.</w:t>
      </w:r>
      <w:r w:rsidR="006E7872" w:rsidRPr="006E7872">
        <w:rPr>
          <w:rFonts w:ascii="Times New Roman" w:eastAsia="Times New Roman" w:hAnsi="Times New Roman" w:cs="Times New Roman"/>
          <w:color w:val="222222"/>
          <w:sz w:val="24"/>
          <w:szCs w:val="24"/>
          <w:lang w:val="en-US"/>
        </w:rPr>
        <w:t>, S.A.P.I. de C.V. or S. de R.</w:t>
      </w:r>
      <w:r w:rsidR="006E7872">
        <w:rPr>
          <w:rFonts w:ascii="Times New Roman" w:eastAsia="Times New Roman" w:hAnsi="Times New Roman" w:cs="Times New Roman"/>
          <w:color w:val="222222"/>
          <w:sz w:val="24"/>
          <w:szCs w:val="24"/>
          <w:lang w:val="en-US"/>
        </w:rPr>
        <w:t>L. de C.V.,</w:t>
      </w:r>
      <w:r w:rsidRPr="006E7872">
        <w:rPr>
          <w:rFonts w:ascii="Times New Roman" w:eastAsia="Times New Roman" w:hAnsi="Times New Roman" w:cs="Times New Roman"/>
          <w:color w:val="222222"/>
          <w:sz w:val="24"/>
          <w:szCs w:val="24"/>
          <w:lang w:val="en-US"/>
        </w:rPr>
        <w:t xml:space="preserve"> </w:t>
      </w:r>
      <w:r w:rsidRPr="003F35AA">
        <w:rPr>
          <w:rFonts w:ascii="Times New Roman" w:eastAsia="Times New Roman" w:hAnsi="Times New Roman" w:cs="Times New Roman"/>
          <w:color w:val="222222"/>
          <w:sz w:val="24"/>
          <w:szCs w:val="24"/>
          <w:lang w:val="en-US"/>
        </w:rPr>
        <w:t>need</w:t>
      </w:r>
      <w:r w:rsidR="006E7872">
        <w:rPr>
          <w:rFonts w:ascii="Times New Roman" w:eastAsia="Times New Roman" w:hAnsi="Times New Roman" w:cs="Times New Roman"/>
          <w:color w:val="222222"/>
          <w:sz w:val="24"/>
          <w:szCs w:val="24"/>
          <w:lang w:val="en-US"/>
        </w:rPr>
        <w:t>s</w:t>
      </w:r>
      <w:r w:rsidRPr="003F35AA">
        <w:rPr>
          <w:rFonts w:ascii="Times New Roman" w:eastAsia="Times New Roman" w:hAnsi="Times New Roman" w:cs="Times New Roman"/>
          <w:color w:val="222222"/>
          <w:sz w:val="24"/>
          <w:szCs w:val="24"/>
          <w:lang w:val="en-US"/>
        </w:rPr>
        <w:t xml:space="preserve"> to be established before a notary public. The company can be setup with two weeks, from the time in which we provide the notary with all necessary documents. The documents needed are those related to the legal existence of the shareholders</w:t>
      </w:r>
      <w:r w:rsidRPr="003F35AA">
        <w:rPr>
          <w:rFonts w:ascii="Times New Roman" w:eastAsia="Times New Roman" w:hAnsi="Times New Roman" w:cs="Times New Roman"/>
          <w:color w:val="222222"/>
          <w:sz w:val="24"/>
          <w:szCs w:val="24"/>
        </w:rPr>
        <w:t xml:space="preserve"> and their legal representatives. </w:t>
      </w:r>
      <w:r w:rsidR="00E65F57">
        <w:rPr>
          <w:rFonts w:ascii="Times New Roman" w:eastAsia="Times New Roman" w:hAnsi="Times New Roman" w:cs="Times New Roman"/>
          <w:color w:val="222222"/>
          <w:sz w:val="24"/>
          <w:szCs w:val="24"/>
        </w:rPr>
        <w:t>We</w:t>
      </w:r>
      <w:r w:rsidRPr="003F35AA">
        <w:rPr>
          <w:rFonts w:ascii="Times New Roman" w:eastAsia="Times New Roman" w:hAnsi="Times New Roman" w:cs="Times New Roman"/>
          <w:color w:val="222222"/>
          <w:sz w:val="24"/>
          <w:szCs w:val="24"/>
        </w:rPr>
        <w:t xml:space="preserve"> can provide a list of the documents</w:t>
      </w:r>
      <w:r w:rsidR="00E65F57">
        <w:rPr>
          <w:rFonts w:ascii="Times New Roman" w:eastAsia="Times New Roman" w:hAnsi="Times New Roman" w:cs="Times New Roman"/>
          <w:color w:val="222222"/>
          <w:sz w:val="24"/>
          <w:szCs w:val="24"/>
        </w:rPr>
        <w:t xml:space="preserve"> upon request</w:t>
      </w:r>
      <w:r w:rsidRPr="003F35AA">
        <w:rPr>
          <w:rFonts w:ascii="Times New Roman" w:eastAsia="Times New Roman" w:hAnsi="Times New Roman" w:cs="Times New Roman"/>
          <w:color w:val="222222"/>
          <w:sz w:val="24"/>
          <w:szCs w:val="24"/>
        </w:rPr>
        <w:t>.</w:t>
      </w:r>
    </w:p>
    <w:p w14:paraId="0B055769" w14:textId="77777777" w:rsidR="003F35AA" w:rsidRPr="003F35AA" w:rsidRDefault="003F35AA" w:rsidP="003F35AA">
      <w:pPr>
        <w:shd w:val="clear" w:color="auto" w:fill="FFFFFF"/>
        <w:adjustRightInd w:val="0"/>
        <w:snapToGrid w:val="0"/>
        <w:spacing w:after="240" w:line="360" w:lineRule="auto"/>
        <w:jc w:val="both"/>
        <w:rPr>
          <w:rFonts w:ascii="Times New Roman" w:eastAsia="Times New Roman" w:hAnsi="Times New Roman" w:cs="Times New Roman"/>
          <w:color w:val="222222"/>
          <w:sz w:val="24"/>
          <w:szCs w:val="24"/>
        </w:rPr>
      </w:pPr>
      <w:r w:rsidRPr="003F35AA">
        <w:rPr>
          <w:rFonts w:ascii="Times New Roman" w:eastAsia="Times New Roman" w:hAnsi="Times New Roman" w:cs="Times New Roman"/>
          <w:color w:val="222222"/>
          <w:sz w:val="24"/>
          <w:szCs w:val="24"/>
          <w:lang w:val="en-US"/>
        </w:rPr>
        <w:t>After setting up the company, we need to register it before the Sistema de Administración Tributaria or SAT (the Tax Administration System). This process can take a couple of days or as much as three weeks, depending on the SAT’s availability of appointments.</w:t>
      </w:r>
    </w:p>
    <w:p w14:paraId="66F70C0B" w14:textId="77777777" w:rsidR="003F35AA" w:rsidRPr="003F35AA" w:rsidRDefault="003F35AA" w:rsidP="003F35AA">
      <w:pPr>
        <w:shd w:val="clear" w:color="auto" w:fill="FFFFFF"/>
        <w:adjustRightInd w:val="0"/>
        <w:snapToGrid w:val="0"/>
        <w:spacing w:after="24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lang w:val="en-US"/>
        </w:rPr>
        <w:t>A</w:t>
      </w:r>
      <w:r w:rsidRPr="003F35AA">
        <w:rPr>
          <w:rFonts w:ascii="Times New Roman" w:eastAsia="Times New Roman" w:hAnsi="Times New Roman" w:cs="Times New Roman"/>
          <w:color w:val="222222"/>
          <w:sz w:val="24"/>
          <w:szCs w:val="24"/>
          <w:lang w:val="en-US"/>
        </w:rPr>
        <w:t>fter having obtained the tax registration number, we can open the company’s bank accounts. This process takes around one week, which is the time needed by the banks to </w:t>
      </w:r>
      <w:bookmarkStart w:id="0" w:name="m_-4355547734316128779_m_-91140758149599"/>
      <w:r w:rsidRPr="003F35AA">
        <w:rPr>
          <w:rFonts w:ascii="Times New Roman" w:eastAsia="Times New Roman" w:hAnsi="Times New Roman" w:cs="Times New Roman"/>
          <w:color w:val="222222"/>
          <w:sz w:val="24"/>
          <w:szCs w:val="24"/>
          <w:lang w:val="en-US"/>
        </w:rPr>
        <w:t>analyze </w:t>
      </w:r>
      <w:bookmarkEnd w:id="0"/>
      <w:r w:rsidRPr="003F35AA">
        <w:rPr>
          <w:rFonts w:ascii="Times New Roman" w:eastAsia="Times New Roman" w:hAnsi="Times New Roman" w:cs="Times New Roman"/>
          <w:color w:val="222222"/>
          <w:sz w:val="24"/>
          <w:szCs w:val="24"/>
          <w:lang w:val="en-US"/>
        </w:rPr>
        <w:t>the company’s by-laws.</w:t>
      </w:r>
    </w:p>
    <w:p w14:paraId="2E95E4FA" w14:textId="77777777" w:rsidR="003F35AA" w:rsidRPr="003F35AA" w:rsidRDefault="003F35AA" w:rsidP="003F35AA">
      <w:pPr>
        <w:shd w:val="clear" w:color="auto" w:fill="FFFFFF"/>
        <w:adjustRightInd w:val="0"/>
        <w:snapToGrid w:val="0"/>
        <w:spacing w:after="240" w:line="360" w:lineRule="auto"/>
        <w:jc w:val="both"/>
        <w:rPr>
          <w:rFonts w:ascii="Times New Roman" w:eastAsia="Times New Roman" w:hAnsi="Times New Roman" w:cs="Times New Roman"/>
          <w:color w:val="222222"/>
          <w:sz w:val="24"/>
          <w:szCs w:val="24"/>
        </w:rPr>
      </w:pPr>
      <w:r w:rsidRPr="003F35AA">
        <w:rPr>
          <w:rFonts w:ascii="Times New Roman" w:eastAsia="Times New Roman" w:hAnsi="Times New Roman" w:cs="Times New Roman"/>
          <w:color w:val="222222"/>
          <w:sz w:val="24"/>
          <w:szCs w:val="24"/>
          <w:lang w:val="en-US"/>
        </w:rPr>
        <w:t>It is important to notice that a Mexican subsidiary needs to start complying with Mexican tax laws since the moment it is established. However, before the company starts have income and expenses, the economic burden of complying with tax laws is not significant.</w:t>
      </w:r>
    </w:p>
    <w:p w14:paraId="477E22A3" w14:textId="77777777" w:rsidR="003F35AA" w:rsidRPr="003F35AA" w:rsidRDefault="003F35AA" w:rsidP="003F35AA">
      <w:pPr>
        <w:adjustRightInd w:val="0"/>
        <w:snapToGrid w:val="0"/>
        <w:spacing w:after="240" w:line="360" w:lineRule="auto"/>
        <w:jc w:val="both"/>
        <w:rPr>
          <w:rFonts w:ascii="Times New Roman" w:eastAsia="Calibri" w:hAnsi="Times New Roman" w:cs="Times New Roman"/>
          <w:color w:val="000000"/>
          <w:sz w:val="24"/>
          <w:szCs w:val="24"/>
          <w:lang w:val="en-US"/>
        </w:rPr>
      </w:pPr>
      <w:r w:rsidRPr="003F35AA">
        <w:rPr>
          <w:rFonts w:ascii="Times New Roman" w:eastAsia="Calibri" w:hAnsi="Times New Roman" w:cs="Times New Roman"/>
          <w:color w:val="000000"/>
          <w:sz w:val="24"/>
          <w:szCs w:val="24"/>
          <w:lang w:val="en-US"/>
        </w:rPr>
        <w:t xml:space="preserve">The firm looks forward to </w:t>
      </w:r>
      <w:r w:rsidR="00E65F57" w:rsidRPr="003F35AA">
        <w:rPr>
          <w:rFonts w:ascii="Times New Roman" w:eastAsia="Calibri" w:hAnsi="Times New Roman" w:cs="Times New Roman"/>
          <w:color w:val="000000"/>
          <w:sz w:val="24"/>
          <w:szCs w:val="24"/>
          <w:lang w:val="en-US"/>
        </w:rPr>
        <w:t>discussing</w:t>
      </w:r>
      <w:r w:rsidRPr="003F35AA">
        <w:rPr>
          <w:rFonts w:ascii="Times New Roman" w:eastAsia="Calibri" w:hAnsi="Times New Roman" w:cs="Times New Roman"/>
          <w:color w:val="000000"/>
          <w:sz w:val="24"/>
          <w:szCs w:val="24"/>
          <w:lang w:val="en-US"/>
        </w:rPr>
        <w:t xml:space="preserve"> further the details of the above-mentioned.</w:t>
      </w:r>
    </w:p>
    <w:p w14:paraId="4D039C8F" w14:textId="77777777" w:rsidR="003F35AA" w:rsidRPr="003F35AA" w:rsidRDefault="003F35AA" w:rsidP="003F35AA">
      <w:pPr>
        <w:adjustRightInd w:val="0"/>
        <w:snapToGrid w:val="0"/>
        <w:spacing w:after="240" w:line="360" w:lineRule="auto"/>
        <w:jc w:val="center"/>
        <w:rPr>
          <w:rFonts w:ascii="Times New Roman" w:eastAsia="Calibri" w:hAnsi="Times New Roman" w:cs="Times New Roman"/>
          <w:color w:val="000000"/>
          <w:sz w:val="24"/>
          <w:szCs w:val="24"/>
        </w:rPr>
      </w:pPr>
      <w:r w:rsidRPr="003F35AA">
        <w:rPr>
          <w:rFonts w:ascii="Times New Roman" w:eastAsia="Calibri" w:hAnsi="Times New Roman" w:cs="Times New Roman"/>
          <w:color w:val="000000"/>
          <w:sz w:val="24"/>
          <w:szCs w:val="24"/>
        </w:rPr>
        <w:t>Sincerely,</w:t>
      </w:r>
    </w:p>
    <w:p w14:paraId="1E99EF85" w14:textId="124A4CA4" w:rsidR="003F35AA" w:rsidRPr="003F35AA" w:rsidRDefault="003F35AA" w:rsidP="003F35AA">
      <w:pPr>
        <w:adjustRightInd w:val="0"/>
        <w:snapToGrid w:val="0"/>
        <w:spacing w:after="240" w:line="360" w:lineRule="auto"/>
        <w:jc w:val="center"/>
        <w:rPr>
          <w:rFonts w:ascii="Times New Roman" w:hAnsi="Times New Roman" w:cs="Times New Roman"/>
          <w:sz w:val="24"/>
          <w:szCs w:val="24"/>
        </w:rPr>
      </w:pPr>
      <w:r w:rsidRPr="003F35AA">
        <w:rPr>
          <w:rFonts w:ascii="Times New Roman" w:eastAsia="Calibri" w:hAnsi="Times New Roman" w:cs="Times New Roman"/>
          <w:b/>
          <w:color w:val="000000"/>
          <w:sz w:val="24"/>
          <w:szCs w:val="24"/>
        </w:rPr>
        <w:t>RUSCONI</w:t>
      </w:r>
      <w:r w:rsidR="000F2C90">
        <w:rPr>
          <w:rFonts w:ascii="Times New Roman" w:eastAsia="Calibri" w:hAnsi="Times New Roman" w:cs="Times New Roman"/>
          <w:b/>
          <w:color w:val="000000"/>
          <w:sz w:val="24"/>
          <w:szCs w:val="24"/>
        </w:rPr>
        <w:t xml:space="preserve"> </w:t>
      </w:r>
      <w:r w:rsidR="00C50CDF">
        <w:rPr>
          <w:rFonts w:ascii="Times New Roman" w:eastAsia="Calibri" w:hAnsi="Times New Roman" w:cs="Times New Roman"/>
          <w:b/>
          <w:color w:val="000000"/>
          <w:sz w:val="24"/>
          <w:szCs w:val="24"/>
        </w:rPr>
        <w:t>&amp; SAUZA, S.C.</w:t>
      </w:r>
    </w:p>
    <w:sectPr w:rsidR="003F35AA" w:rsidRPr="003F35AA" w:rsidSect="003F35AA">
      <w:headerReference w:type="default" r:id="rId7"/>
      <w:pgSz w:w="12240" w:h="15840" w:code="1"/>
      <w:pgMar w:top="1985" w:right="1701" w:bottom="1843" w:left="1701" w:header="567" w:footer="12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D9986" w14:textId="77777777" w:rsidR="0043305E" w:rsidRDefault="0043305E" w:rsidP="003F35AA">
      <w:pPr>
        <w:spacing w:after="0" w:line="240" w:lineRule="auto"/>
      </w:pPr>
      <w:r>
        <w:separator/>
      </w:r>
    </w:p>
  </w:endnote>
  <w:endnote w:type="continuationSeparator" w:id="0">
    <w:p w14:paraId="25F575F9" w14:textId="77777777" w:rsidR="0043305E" w:rsidRDefault="0043305E" w:rsidP="003F3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4207F" w14:textId="77777777" w:rsidR="0043305E" w:rsidRDefault="0043305E" w:rsidP="003F35AA">
      <w:pPr>
        <w:spacing w:after="0" w:line="240" w:lineRule="auto"/>
      </w:pPr>
      <w:r>
        <w:separator/>
      </w:r>
    </w:p>
  </w:footnote>
  <w:footnote w:type="continuationSeparator" w:id="0">
    <w:p w14:paraId="66C08D1F" w14:textId="77777777" w:rsidR="0043305E" w:rsidRDefault="0043305E" w:rsidP="003F3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6B222" w14:textId="6AACEA81" w:rsidR="003F35AA" w:rsidRDefault="0043305E">
    <w:pPr>
      <w:pStyle w:val="Encabezado"/>
    </w:pPr>
    <w:r>
      <w:rPr>
        <w:noProof/>
      </w:rPr>
      <w:pict w14:anchorId="6D728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6" o:spid="_x0000_s2051" type="#_x0000_t75" alt="/Volumes/PULSO DATA/PULSO/Almacén Proyectos/2020/Rusconi&amp;Sauza/Identidad/Aplicaciones V2/Membretada/RUCONI_membretada-01.jpg" style="position:absolute;margin-left:-85.4pt;margin-top:-106.85pt;width:612.45pt;height:792.45pt;z-index:-251658752;mso-wrap-edited:f;mso-width-percent:0;mso-height-percent:0;mso-position-horizontal-relative:margin;mso-position-vertical-relative:margin;mso-width-percent:0;mso-height-percent:0" o:allowincell="f">
          <v:imagedata r:id="rId1" o:title="RUCONI_membretad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22857"/>
    <w:multiLevelType w:val="hybridMultilevel"/>
    <w:tmpl w:val="776042DC"/>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7EB4CD8"/>
    <w:multiLevelType w:val="hybridMultilevel"/>
    <w:tmpl w:val="8590806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2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BE4"/>
    <w:rsid w:val="000175EE"/>
    <w:rsid w:val="000A79D1"/>
    <w:rsid w:val="000C6659"/>
    <w:rsid w:val="000F2C90"/>
    <w:rsid w:val="00110F2B"/>
    <w:rsid w:val="001B0111"/>
    <w:rsid w:val="001E362C"/>
    <w:rsid w:val="003E2E8E"/>
    <w:rsid w:val="003F35AA"/>
    <w:rsid w:val="004227E2"/>
    <w:rsid w:val="0043305E"/>
    <w:rsid w:val="005142B8"/>
    <w:rsid w:val="005E6D71"/>
    <w:rsid w:val="00647327"/>
    <w:rsid w:val="006E2CEE"/>
    <w:rsid w:val="006E7872"/>
    <w:rsid w:val="00792316"/>
    <w:rsid w:val="008471BE"/>
    <w:rsid w:val="00852D2C"/>
    <w:rsid w:val="008972BD"/>
    <w:rsid w:val="00904595"/>
    <w:rsid w:val="00B553E0"/>
    <w:rsid w:val="00B803CB"/>
    <w:rsid w:val="00B91DC9"/>
    <w:rsid w:val="00C50CDF"/>
    <w:rsid w:val="00D1749A"/>
    <w:rsid w:val="00D21CEF"/>
    <w:rsid w:val="00D24BE4"/>
    <w:rsid w:val="00D63431"/>
    <w:rsid w:val="00E65F57"/>
    <w:rsid w:val="00EF0BE4"/>
    <w:rsid w:val="00F106C0"/>
    <w:rsid w:val="00F1681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24E2300"/>
  <w15:chartTrackingRefBased/>
  <w15:docId w15:val="{457DDABE-DED0-4349-BB1D-7E9C6F780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F35A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3F35AA"/>
  </w:style>
  <w:style w:type="paragraph" w:styleId="Piedepgina">
    <w:name w:val="footer"/>
    <w:basedOn w:val="Normal"/>
    <w:link w:val="PiedepginaCar"/>
    <w:uiPriority w:val="99"/>
    <w:unhideWhenUsed/>
    <w:rsid w:val="003F35AA"/>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3F35AA"/>
  </w:style>
  <w:style w:type="character" w:customStyle="1" w:styleId="apple-converted-space">
    <w:name w:val="apple-converted-space"/>
    <w:basedOn w:val="Fuentedeprrafopredeter"/>
    <w:rsid w:val="003F35AA"/>
  </w:style>
  <w:style w:type="paragraph" w:styleId="Prrafodelista">
    <w:name w:val="List Paragraph"/>
    <w:basedOn w:val="Normal"/>
    <w:uiPriority w:val="34"/>
    <w:qFormat/>
    <w:rsid w:val="003F35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79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690</Words>
  <Characters>3801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Rusconi</dc:creator>
  <cp:keywords/>
  <dc:description/>
  <cp:lastModifiedBy>Eduardo</cp:lastModifiedBy>
  <cp:revision>23</cp:revision>
  <cp:lastPrinted>2018-10-29T20:36:00Z</cp:lastPrinted>
  <dcterms:created xsi:type="dcterms:W3CDTF">2017-05-18T23:22:00Z</dcterms:created>
  <dcterms:modified xsi:type="dcterms:W3CDTF">2021-05-25T23:49:00Z</dcterms:modified>
</cp:coreProperties>
</file>