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3A5E7" w14:textId="77777777" w:rsidR="002D495F" w:rsidRDefault="00000000">
      <w:pPr>
        <w:spacing w:after="60"/>
        <w:jc w:val="center"/>
      </w:pPr>
      <w:r>
        <w:rPr>
          <w:rFonts w:ascii="Arial" w:eastAsia="Arial" w:hAnsi="Arial"/>
          <w:b/>
          <w:color w:val="1F4E79"/>
          <w:sz w:val="29"/>
        </w:rPr>
        <w:t>REQUIRED DOCUMENTATION FOR SOFOM DUE DILIGENCE</w:t>
      </w:r>
    </w:p>
    <w:p w14:paraId="214066E3" w14:textId="77777777" w:rsidR="002D495F" w:rsidRDefault="002D495F">
      <w:pPr>
        <w:pBdr>
          <w:bottom w:val="single" w:sz="8" w:space="1" w:color="1F4E79"/>
        </w:pBdr>
        <w:spacing w:after="140"/>
      </w:pPr>
    </w:p>
    <w:p w14:paraId="3EB7CF62" w14:textId="77777777" w:rsidR="002D495F" w:rsidRDefault="00000000">
      <w:pPr>
        <w:spacing w:after="120"/>
        <w:jc w:val="both"/>
      </w:pPr>
      <w:r>
        <w:rPr>
          <w:rFonts w:ascii="Arial" w:eastAsia="Arial" w:hAnsi="Arial"/>
          <w:color w:val="202020"/>
          <w:sz w:val="20"/>
        </w:rPr>
        <w:t>The following documentation is required to begin the due diligence review of a Multiple Purpose Financial Company ("SOFOM"), whether in connection with a potential acquisition, investment, financing or corporate review.</w:t>
      </w:r>
    </w:p>
    <w:p w14:paraId="2C9BAFEE" w14:textId="77777777" w:rsidR="002D495F" w:rsidRDefault="00000000">
      <w:pPr>
        <w:spacing w:after="120"/>
        <w:jc w:val="both"/>
      </w:pPr>
      <w:r>
        <w:rPr>
          <w:rFonts w:ascii="Arial" w:eastAsia="Arial" w:hAnsi="Arial"/>
          <w:color w:val="202020"/>
          <w:sz w:val="20"/>
        </w:rPr>
        <w:t>Documents should be organized by subject matter and uploaded to a secure data room with clear file names. If a document does not exist, is not applicable or is still in process, please provide a brief explanation and any equivalent evidence available.</w:t>
      </w:r>
    </w:p>
    <w:p w14:paraId="6BB90251" w14:textId="77777777" w:rsidR="002D495F" w:rsidRDefault="00000000">
      <w:pPr>
        <w:spacing w:before="180" w:after="40"/>
        <w:jc w:val="both"/>
      </w:pPr>
      <w:r>
        <w:rPr>
          <w:rFonts w:ascii="Arial" w:eastAsia="Arial" w:hAnsi="Arial"/>
          <w:b/>
          <w:color w:val="1F4E79"/>
          <w:sz w:val="22"/>
        </w:rPr>
        <w:t>1. Corporate, Tax and Registry Documentation</w:t>
      </w:r>
    </w:p>
    <w:p w14:paraId="339ADADB" w14:textId="77777777" w:rsidR="002D495F" w:rsidRDefault="00000000">
      <w:pPr>
        <w:spacing w:after="60"/>
        <w:jc w:val="both"/>
      </w:pPr>
      <w:r>
        <w:rPr>
          <w:rFonts w:ascii="Arial" w:eastAsia="Arial" w:hAnsi="Arial"/>
          <w:i/>
          <w:color w:val="5A5A5A"/>
          <w:sz w:val="19"/>
        </w:rPr>
        <w:t>These documents allow us to confirm the legal existence, basic tax status and registry standing of the SOFOM.</w:t>
      </w:r>
    </w:p>
    <w:tbl>
      <w:tblPr>
        <w:tblW w:w="9315" w:type="dxa"/>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7703"/>
        <w:gridCol w:w="1612"/>
      </w:tblGrid>
      <w:tr w:rsidR="002D495F" w14:paraId="6F919405" w14:textId="77777777">
        <w:trPr>
          <w:cantSplit/>
          <w:tblHeader/>
          <w:jc w:val="center"/>
        </w:trPr>
        <w:tc>
          <w:tcPr>
            <w:tcW w:w="7703" w:type="dxa"/>
            <w:shd w:val="clear" w:color="auto" w:fill="1F4E79"/>
            <w:tcMar>
              <w:top w:w="70" w:type="dxa"/>
              <w:left w:w="80" w:type="dxa"/>
              <w:bottom w:w="70" w:type="dxa"/>
              <w:right w:w="80" w:type="dxa"/>
            </w:tcMar>
            <w:vAlign w:val="center"/>
          </w:tcPr>
          <w:p w14:paraId="56CAE018" w14:textId="77777777" w:rsidR="002D495F" w:rsidRDefault="00000000">
            <w:r>
              <w:rPr>
                <w:rFonts w:ascii="Arial" w:eastAsia="Arial" w:hAnsi="Arial"/>
                <w:b/>
                <w:color w:val="FFFFFF"/>
                <w:sz w:val="15"/>
              </w:rPr>
              <w:t>Required documentation</w:t>
            </w:r>
          </w:p>
        </w:tc>
        <w:tc>
          <w:tcPr>
            <w:tcW w:w="1612" w:type="dxa"/>
            <w:shd w:val="clear" w:color="auto" w:fill="1F4E79"/>
            <w:tcMar>
              <w:top w:w="70" w:type="dxa"/>
              <w:left w:w="80" w:type="dxa"/>
              <w:bottom w:w="70" w:type="dxa"/>
              <w:right w:w="80" w:type="dxa"/>
            </w:tcMar>
            <w:vAlign w:val="center"/>
          </w:tcPr>
          <w:p w14:paraId="4003DF12" w14:textId="77777777" w:rsidR="002D495F" w:rsidRDefault="00000000">
            <w:pPr>
              <w:jc w:val="center"/>
            </w:pPr>
            <w:r>
              <w:rPr>
                <w:rFonts w:ascii="Arial" w:eastAsia="Arial" w:hAnsi="Arial"/>
                <w:b/>
                <w:color w:val="FFFFFF"/>
                <w:sz w:val="14"/>
              </w:rPr>
              <w:t>Document available</w:t>
            </w:r>
          </w:p>
        </w:tc>
      </w:tr>
      <w:tr w:rsidR="002D495F" w14:paraId="41773D11" w14:textId="77777777">
        <w:trPr>
          <w:cantSplit/>
          <w:jc w:val="center"/>
        </w:trPr>
        <w:tc>
          <w:tcPr>
            <w:tcW w:w="7703" w:type="dxa"/>
            <w:tcMar>
              <w:top w:w="50" w:type="dxa"/>
              <w:left w:w="80" w:type="dxa"/>
              <w:bottom w:w="50" w:type="dxa"/>
              <w:right w:w="80" w:type="dxa"/>
            </w:tcMar>
            <w:vAlign w:val="center"/>
          </w:tcPr>
          <w:p w14:paraId="3EE885E4" w14:textId="77777777" w:rsidR="002D495F" w:rsidRDefault="00000000">
            <w:r>
              <w:rPr>
                <w:rFonts w:ascii="Arial" w:eastAsia="Arial" w:hAnsi="Arial"/>
                <w:color w:val="202020"/>
                <w:sz w:val="15"/>
              </w:rPr>
              <w:t>Copy of the current bylaws of the SOFOM, including incorporation deed, amendments to the bylaws and, where available, any consolidated corporate text.</w:t>
            </w:r>
          </w:p>
        </w:tc>
        <w:tc>
          <w:tcPr>
            <w:tcW w:w="1612" w:type="dxa"/>
            <w:tcMar>
              <w:top w:w="50" w:type="dxa"/>
              <w:left w:w="80" w:type="dxa"/>
              <w:bottom w:w="50" w:type="dxa"/>
              <w:right w:w="80" w:type="dxa"/>
            </w:tcMar>
            <w:vAlign w:val="center"/>
          </w:tcPr>
          <w:p w14:paraId="79656240" w14:textId="77777777" w:rsidR="002D495F" w:rsidRDefault="00000000">
            <w:pPr>
              <w:jc w:val="center"/>
            </w:pPr>
            <w:r>
              <w:rPr>
                <w:rFonts w:ascii="Arial" w:eastAsia="Arial" w:hAnsi="Arial"/>
                <w:color w:val="202020"/>
                <w:sz w:val="19"/>
              </w:rPr>
              <w:t>☐</w:t>
            </w:r>
          </w:p>
        </w:tc>
      </w:tr>
      <w:tr w:rsidR="002D495F" w14:paraId="4A813613" w14:textId="77777777">
        <w:trPr>
          <w:cantSplit/>
          <w:jc w:val="center"/>
        </w:trPr>
        <w:tc>
          <w:tcPr>
            <w:tcW w:w="7703" w:type="dxa"/>
            <w:tcMar>
              <w:top w:w="50" w:type="dxa"/>
              <w:left w:w="80" w:type="dxa"/>
              <w:bottom w:w="50" w:type="dxa"/>
              <w:right w:w="80" w:type="dxa"/>
            </w:tcMar>
            <w:vAlign w:val="center"/>
          </w:tcPr>
          <w:p w14:paraId="166E8CEB" w14:textId="77777777" w:rsidR="002D495F" w:rsidRDefault="00000000">
            <w:r>
              <w:rPr>
                <w:rFonts w:ascii="Arial" w:eastAsia="Arial" w:hAnsi="Arial"/>
                <w:color w:val="202020"/>
                <w:sz w:val="15"/>
              </w:rPr>
              <w:t>Recent Tax Status Certificate issued by the Mexican Tax Administration Service (SAT).</w:t>
            </w:r>
          </w:p>
        </w:tc>
        <w:tc>
          <w:tcPr>
            <w:tcW w:w="1612" w:type="dxa"/>
            <w:tcMar>
              <w:top w:w="50" w:type="dxa"/>
              <w:left w:w="80" w:type="dxa"/>
              <w:bottom w:w="50" w:type="dxa"/>
              <w:right w:w="80" w:type="dxa"/>
            </w:tcMar>
            <w:vAlign w:val="center"/>
          </w:tcPr>
          <w:p w14:paraId="2A20E1BF" w14:textId="77777777" w:rsidR="002D495F" w:rsidRDefault="00000000">
            <w:pPr>
              <w:jc w:val="center"/>
            </w:pPr>
            <w:r>
              <w:rPr>
                <w:rFonts w:ascii="Arial" w:eastAsia="Arial" w:hAnsi="Arial"/>
                <w:color w:val="202020"/>
                <w:sz w:val="19"/>
              </w:rPr>
              <w:t>☐</w:t>
            </w:r>
          </w:p>
        </w:tc>
      </w:tr>
      <w:tr w:rsidR="002D495F" w14:paraId="2045FA54" w14:textId="77777777">
        <w:trPr>
          <w:cantSplit/>
          <w:jc w:val="center"/>
        </w:trPr>
        <w:tc>
          <w:tcPr>
            <w:tcW w:w="7703" w:type="dxa"/>
            <w:tcMar>
              <w:top w:w="50" w:type="dxa"/>
              <w:left w:w="80" w:type="dxa"/>
              <w:bottom w:w="50" w:type="dxa"/>
              <w:right w:w="80" w:type="dxa"/>
            </w:tcMar>
            <w:vAlign w:val="center"/>
          </w:tcPr>
          <w:p w14:paraId="5A046100" w14:textId="77777777" w:rsidR="002D495F" w:rsidRDefault="00000000">
            <w:r>
              <w:rPr>
                <w:rFonts w:ascii="Arial" w:eastAsia="Arial" w:hAnsi="Arial"/>
                <w:color w:val="202020"/>
                <w:sz w:val="15"/>
              </w:rPr>
              <w:t>Official acknowledgment, certificate or evidence of issuance, renewal or current validity of the SOFOM e.firma.</w:t>
            </w:r>
          </w:p>
        </w:tc>
        <w:tc>
          <w:tcPr>
            <w:tcW w:w="1612" w:type="dxa"/>
            <w:tcMar>
              <w:top w:w="50" w:type="dxa"/>
              <w:left w:w="80" w:type="dxa"/>
              <w:bottom w:w="50" w:type="dxa"/>
              <w:right w:w="80" w:type="dxa"/>
            </w:tcMar>
            <w:vAlign w:val="center"/>
          </w:tcPr>
          <w:p w14:paraId="750A1EA1" w14:textId="77777777" w:rsidR="002D495F" w:rsidRDefault="00000000">
            <w:pPr>
              <w:jc w:val="center"/>
            </w:pPr>
            <w:r>
              <w:rPr>
                <w:rFonts w:ascii="Arial" w:eastAsia="Arial" w:hAnsi="Arial"/>
                <w:color w:val="202020"/>
                <w:sz w:val="19"/>
              </w:rPr>
              <w:t>☐</w:t>
            </w:r>
          </w:p>
        </w:tc>
      </w:tr>
      <w:tr w:rsidR="002D495F" w14:paraId="3905C762" w14:textId="77777777">
        <w:trPr>
          <w:cantSplit/>
          <w:jc w:val="center"/>
        </w:trPr>
        <w:tc>
          <w:tcPr>
            <w:tcW w:w="7703" w:type="dxa"/>
            <w:tcMar>
              <w:top w:w="50" w:type="dxa"/>
              <w:left w:w="80" w:type="dxa"/>
              <w:bottom w:w="50" w:type="dxa"/>
              <w:right w:w="80" w:type="dxa"/>
            </w:tcMar>
            <w:vAlign w:val="center"/>
          </w:tcPr>
          <w:p w14:paraId="37A13B76" w14:textId="77777777" w:rsidR="002D495F" w:rsidRDefault="00000000">
            <w:r>
              <w:rPr>
                <w:rFonts w:ascii="Arial" w:eastAsia="Arial" w:hAnsi="Arial"/>
                <w:color w:val="202020"/>
                <w:sz w:val="15"/>
              </w:rPr>
              <w:t>SOFOM e.firma. The .cer and .key files, passwords and other sensitive credentials should not be sent by email; where necessary, they should be reviewed through a secure protocol, encrypted channel or supervised remote session.</w:t>
            </w:r>
          </w:p>
        </w:tc>
        <w:tc>
          <w:tcPr>
            <w:tcW w:w="1612" w:type="dxa"/>
            <w:tcMar>
              <w:top w:w="50" w:type="dxa"/>
              <w:left w:w="80" w:type="dxa"/>
              <w:bottom w:w="50" w:type="dxa"/>
              <w:right w:w="80" w:type="dxa"/>
            </w:tcMar>
            <w:vAlign w:val="center"/>
          </w:tcPr>
          <w:p w14:paraId="3F72FAA1" w14:textId="77777777" w:rsidR="002D495F" w:rsidRDefault="00000000">
            <w:pPr>
              <w:jc w:val="center"/>
            </w:pPr>
            <w:r>
              <w:rPr>
                <w:rFonts w:ascii="Arial" w:eastAsia="Arial" w:hAnsi="Arial"/>
                <w:color w:val="202020"/>
                <w:sz w:val="19"/>
              </w:rPr>
              <w:t>☐</w:t>
            </w:r>
          </w:p>
        </w:tc>
      </w:tr>
      <w:tr w:rsidR="002D495F" w14:paraId="7A7B2BDB" w14:textId="77777777">
        <w:trPr>
          <w:cantSplit/>
          <w:jc w:val="center"/>
        </w:trPr>
        <w:tc>
          <w:tcPr>
            <w:tcW w:w="7703" w:type="dxa"/>
            <w:tcMar>
              <w:top w:w="50" w:type="dxa"/>
              <w:left w:w="80" w:type="dxa"/>
              <w:bottom w:w="50" w:type="dxa"/>
              <w:right w:w="80" w:type="dxa"/>
            </w:tcMar>
            <w:vAlign w:val="center"/>
          </w:tcPr>
          <w:p w14:paraId="2DBECCB9" w14:textId="77777777" w:rsidR="002D495F" w:rsidRDefault="00000000">
            <w:r>
              <w:rPr>
                <w:rFonts w:ascii="Arial" w:eastAsia="Arial" w:hAnsi="Arial"/>
                <w:color w:val="202020"/>
                <w:sz w:val="15"/>
              </w:rPr>
              <w:t>Certificate, record or evidence of registration of the SOFOM with the Public Registry of Commerce.</w:t>
            </w:r>
          </w:p>
        </w:tc>
        <w:tc>
          <w:tcPr>
            <w:tcW w:w="1612" w:type="dxa"/>
            <w:tcMar>
              <w:top w:w="50" w:type="dxa"/>
              <w:left w:w="80" w:type="dxa"/>
              <w:bottom w:w="50" w:type="dxa"/>
              <w:right w:w="80" w:type="dxa"/>
            </w:tcMar>
            <w:vAlign w:val="center"/>
          </w:tcPr>
          <w:p w14:paraId="0BC0B20C" w14:textId="77777777" w:rsidR="002D495F" w:rsidRDefault="00000000">
            <w:pPr>
              <w:jc w:val="center"/>
            </w:pPr>
            <w:r>
              <w:rPr>
                <w:rFonts w:ascii="Arial" w:eastAsia="Arial" w:hAnsi="Arial"/>
                <w:color w:val="202020"/>
                <w:sz w:val="19"/>
              </w:rPr>
              <w:t>☐</w:t>
            </w:r>
          </w:p>
        </w:tc>
      </w:tr>
    </w:tbl>
    <w:p w14:paraId="624E64EC" w14:textId="77777777" w:rsidR="002D495F" w:rsidRDefault="002D495F">
      <w:pPr>
        <w:spacing w:after="20"/>
      </w:pPr>
    </w:p>
    <w:p w14:paraId="74828F04" w14:textId="77777777" w:rsidR="002D495F" w:rsidRDefault="00000000">
      <w:pPr>
        <w:spacing w:before="180" w:after="40"/>
        <w:jc w:val="both"/>
      </w:pPr>
      <w:r>
        <w:rPr>
          <w:rFonts w:ascii="Arial" w:eastAsia="Arial" w:hAnsi="Arial"/>
          <w:b/>
          <w:color w:val="1F4E79"/>
          <w:sz w:val="22"/>
        </w:rPr>
        <w:t>2. AML/CFT Compliance and Regulatory Supervision</w:t>
      </w:r>
    </w:p>
    <w:p w14:paraId="4FB59220" w14:textId="77777777" w:rsidR="002D495F" w:rsidRDefault="00000000">
      <w:pPr>
        <w:spacing w:after="60"/>
        <w:jc w:val="both"/>
      </w:pPr>
      <w:r>
        <w:rPr>
          <w:rFonts w:ascii="Arial" w:eastAsia="Arial" w:hAnsi="Arial"/>
          <w:i/>
          <w:color w:val="5A5A5A"/>
          <w:sz w:val="19"/>
        </w:rPr>
        <w:t>These documents allow us to review the anti-money laundering and counter-terrorist financing framework and the basic regulatory compliance status of the SOFOM.</w:t>
      </w:r>
    </w:p>
    <w:tbl>
      <w:tblPr>
        <w:tblW w:w="9315" w:type="dxa"/>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7703"/>
        <w:gridCol w:w="1612"/>
      </w:tblGrid>
      <w:tr w:rsidR="002D495F" w14:paraId="79D719AE" w14:textId="77777777">
        <w:trPr>
          <w:cantSplit/>
          <w:tblHeader/>
          <w:jc w:val="center"/>
        </w:trPr>
        <w:tc>
          <w:tcPr>
            <w:tcW w:w="7703" w:type="dxa"/>
            <w:shd w:val="clear" w:color="auto" w:fill="1F4E79"/>
            <w:tcMar>
              <w:top w:w="70" w:type="dxa"/>
              <w:left w:w="80" w:type="dxa"/>
              <w:bottom w:w="70" w:type="dxa"/>
              <w:right w:w="80" w:type="dxa"/>
            </w:tcMar>
            <w:vAlign w:val="center"/>
          </w:tcPr>
          <w:p w14:paraId="03B3B144" w14:textId="77777777" w:rsidR="002D495F" w:rsidRDefault="00000000">
            <w:r>
              <w:rPr>
                <w:rFonts w:ascii="Arial" w:eastAsia="Arial" w:hAnsi="Arial"/>
                <w:b/>
                <w:color w:val="FFFFFF"/>
                <w:sz w:val="15"/>
              </w:rPr>
              <w:t>Required documentation</w:t>
            </w:r>
          </w:p>
        </w:tc>
        <w:tc>
          <w:tcPr>
            <w:tcW w:w="1612" w:type="dxa"/>
            <w:shd w:val="clear" w:color="auto" w:fill="1F4E79"/>
            <w:tcMar>
              <w:top w:w="70" w:type="dxa"/>
              <w:left w:w="80" w:type="dxa"/>
              <w:bottom w:w="70" w:type="dxa"/>
              <w:right w:w="80" w:type="dxa"/>
            </w:tcMar>
            <w:vAlign w:val="center"/>
          </w:tcPr>
          <w:p w14:paraId="1FA436CD" w14:textId="77777777" w:rsidR="002D495F" w:rsidRDefault="00000000">
            <w:pPr>
              <w:jc w:val="center"/>
            </w:pPr>
            <w:r>
              <w:rPr>
                <w:rFonts w:ascii="Arial" w:eastAsia="Arial" w:hAnsi="Arial"/>
                <w:b/>
                <w:color w:val="FFFFFF"/>
                <w:sz w:val="14"/>
              </w:rPr>
              <w:t>Document available</w:t>
            </w:r>
          </w:p>
        </w:tc>
      </w:tr>
      <w:tr w:rsidR="002D495F" w14:paraId="03090FEE" w14:textId="77777777">
        <w:trPr>
          <w:cantSplit/>
          <w:jc w:val="center"/>
        </w:trPr>
        <w:tc>
          <w:tcPr>
            <w:tcW w:w="7703" w:type="dxa"/>
            <w:tcMar>
              <w:top w:w="50" w:type="dxa"/>
              <w:left w:w="80" w:type="dxa"/>
              <w:bottom w:w="50" w:type="dxa"/>
              <w:right w:w="80" w:type="dxa"/>
            </w:tcMar>
            <w:vAlign w:val="center"/>
          </w:tcPr>
          <w:p w14:paraId="4C0125CA" w14:textId="77777777" w:rsidR="002D495F" w:rsidRDefault="00000000">
            <w:r>
              <w:rPr>
                <w:rFonts w:ascii="Arial" w:eastAsia="Arial" w:hAnsi="Arial"/>
                <w:color w:val="202020"/>
                <w:sz w:val="15"/>
              </w:rPr>
              <w:t>Anti-Money Laundering and Counter-Terrorist Financing (AML/CFT) Manual, including the risk-based approach and evidence of internal approval.</w:t>
            </w:r>
          </w:p>
        </w:tc>
        <w:tc>
          <w:tcPr>
            <w:tcW w:w="1612" w:type="dxa"/>
            <w:tcMar>
              <w:top w:w="50" w:type="dxa"/>
              <w:left w:w="80" w:type="dxa"/>
              <w:bottom w:w="50" w:type="dxa"/>
              <w:right w:w="80" w:type="dxa"/>
            </w:tcMar>
            <w:vAlign w:val="center"/>
          </w:tcPr>
          <w:p w14:paraId="6313A0B4" w14:textId="77777777" w:rsidR="002D495F" w:rsidRDefault="00000000">
            <w:pPr>
              <w:jc w:val="center"/>
            </w:pPr>
            <w:r>
              <w:rPr>
                <w:rFonts w:ascii="Arial" w:eastAsia="Arial" w:hAnsi="Arial"/>
                <w:color w:val="202020"/>
                <w:sz w:val="19"/>
              </w:rPr>
              <w:t>☐</w:t>
            </w:r>
          </w:p>
        </w:tc>
      </w:tr>
      <w:tr w:rsidR="002D495F" w14:paraId="102D286B" w14:textId="77777777">
        <w:trPr>
          <w:cantSplit/>
          <w:jc w:val="center"/>
        </w:trPr>
        <w:tc>
          <w:tcPr>
            <w:tcW w:w="7703" w:type="dxa"/>
            <w:tcMar>
              <w:top w:w="50" w:type="dxa"/>
              <w:left w:w="80" w:type="dxa"/>
              <w:bottom w:w="50" w:type="dxa"/>
              <w:right w:w="80" w:type="dxa"/>
            </w:tcMar>
            <w:vAlign w:val="center"/>
          </w:tcPr>
          <w:p w14:paraId="0DB4DE94" w14:textId="77777777" w:rsidR="002D495F" w:rsidRDefault="00000000">
            <w:r>
              <w:rPr>
                <w:rFonts w:ascii="Arial" w:eastAsia="Arial" w:hAnsi="Arial"/>
                <w:color w:val="202020"/>
                <w:sz w:val="15"/>
              </w:rPr>
              <w:t>AML/CFT technical opinion issued by the National Banking and Securities Commission (CNBV), together with any observations, remediation plans or follow-up evidence, if any.</w:t>
            </w:r>
          </w:p>
        </w:tc>
        <w:tc>
          <w:tcPr>
            <w:tcW w:w="1612" w:type="dxa"/>
            <w:tcMar>
              <w:top w:w="50" w:type="dxa"/>
              <w:left w:w="80" w:type="dxa"/>
              <w:bottom w:w="50" w:type="dxa"/>
              <w:right w:w="80" w:type="dxa"/>
            </w:tcMar>
            <w:vAlign w:val="center"/>
          </w:tcPr>
          <w:p w14:paraId="6ECB8152" w14:textId="77777777" w:rsidR="002D495F" w:rsidRDefault="00000000">
            <w:pPr>
              <w:jc w:val="center"/>
            </w:pPr>
            <w:r>
              <w:rPr>
                <w:rFonts w:ascii="Arial" w:eastAsia="Arial" w:hAnsi="Arial"/>
                <w:color w:val="202020"/>
                <w:sz w:val="19"/>
              </w:rPr>
              <w:t>☐</w:t>
            </w:r>
          </w:p>
        </w:tc>
      </w:tr>
      <w:tr w:rsidR="002D495F" w14:paraId="14163633" w14:textId="77777777">
        <w:trPr>
          <w:cantSplit/>
          <w:jc w:val="center"/>
        </w:trPr>
        <w:tc>
          <w:tcPr>
            <w:tcW w:w="7703" w:type="dxa"/>
            <w:tcMar>
              <w:top w:w="50" w:type="dxa"/>
              <w:left w:w="80" w:type="dxa"/>
              <w:bottom w:w="50" w:type="dxa"/>
              <w:right w:w="80" w:type="dxa"/>
            </w:tcMar>
            <w:vAlign w:val="center"/>
          </w:tcPr>
          <w:p w14:paraId="2F744DA4" w14:textId="77777777" w:rsidR="002D495F" w:rsidRDefault="00000000">
            <w:r>
              <w:rPr>
                <w:rFonts w:ascii="Arial" w:eastAsia="Arial" w:hAnsi="Arial"/>
                <w:color w:val="202020"/>
                <w:sz w:val="15"/>
              </w:rPr>
              <w:t>Proof of payment of CNBV supervisory fees, if applicable.</w:t>
            </w:r>
          </w:p>
        </w:tc>
        <w:tc>
          <w:tcPr>
            <w:tcW w:w="1612" w:type="dxa"/>
            <w:tcMar>
              <w:top w:w="50" w:type="dxa"/>
              <w:left w:w="80" w:type="dxa"/>
              <w:bottom w:w="50" w:type="dxa"/>
              <w:right w:w="80" w:type="dxa"/>
            </w:tcMar>
            <w:vAlign w:val="center"/>
          </w:tcPr>
          <w:p w14:paraId="1BD34BF8" w14:textId="77777777" w:rsidR="002D495F" w:rsidRDefault="00000000">
            <w:pPr>
              <w:jc w:val="center"/>
            </w:pPr>
            <w:r>
              <w:rPr>
                <w:rFonts w:ascii="Arial" w:eastAsia="Arial" w:hAnsi="Arial"/>
                <w:color w:val="202020"/>
                <w:sz w:val="19"/>
              </w:rPr>
              <w:t>☐</w:t>
            </w:r>
          </w:p>
        </w:tc>
      </w:tr>
      <w:tr w:rsidR="002D495F" w14:paraId="4D36FFCC" w14:textId="77777777">
        <w:trPr>
          <w:cantSplit/>
          <w:jc w:val="center"/>
        </w:trPr>
        <w:tc>
          <w:tcPr>
            <w:tcW w:w="7703" w:type="dxa"/>
            <w:tcMar>
              <w:top w:w="50" w:type="dxa"/>
              <w:left w:w="80" w:type="dxa"/>
              <w:bottom w:w="50" w:type="dxa"/>
              <w:right w:w="80" w:type="dxa"/>
            </w:tcMar>
            <w:vAlign w:val="center"/>
          </w:tcPr>
          <w:p w14:paraId="3329F27C" w14:textId="77777777" w:rsidR="002D495F" w:rsidRDefault="00000000">
            <w:r>
              <w:rPr>
                <w:rFonts w:ascii="Arial" w:eastAsia="Arial" w:hAnsi="Arial"/>
                <w:color w:val="202020"/>
                <w:sz w:val="15"/>
              </w:rPr>
              <w:t>Agreement with the provider of the automated AML/CFT monitoring system used by the SOFOM, including, where available, a description of rules, scenarios, alerts, investigation workflow and closure criteria.</w:t>
            </w:r>
          </w:p>
        </w:tc>
        <w:tc>
          <w:tcPr>
            <w:tcW w:w="1612" w:type="dxa"/>
            <w:tcMar>
              <w:top w:w="50" w:type="dxa"/>
              <w:left w:w="80" w:type="dxa"/>
              <w:bottom w:w="50" w:type="dxa"/>
              <w:right w:w="80" w:type="dxa"/>
            </w:tcMar>
            <w:vAlign w:val="center"/>
          </w:tcPr>
          <w:p w14:paraId="6B483C1C" w14:textId="77777777" w:rsidR="002D495F" w:rsidRDefault="00000000">
            <w:pPr>
              <w:jc w:val="center"/>
            </w:pPr>
            <w:r>
              <w:rPr>
                <w:rFonts w:ascii="Arial" w:eastAsia="Arial" w:hAnsi="Arial"/>
                <w:color w:val="202020"/>
                <w:sz w:val="19"/>
              </w:rPr>
              <w:t>☐</w:t>
            </w:r>
          </w:p>
        </w:tc>
      </w:tr>
    </w:tbl>
    <w:p w14:paraId="5200183D" w14:textId="77777777" w:rsidR="002D495F" w:rsidRDefault="002D495F">
      <w:pPr>
        <w:spacing w:after="20"/>
      </w:pPr>
    </w:p>
    <w:p w14:paraId="68AEC1E9" w14:textId="77777777" w:rsidR="002D495F" w:rsidRDefault="00000000">
      <w:pPr>
        <w:pageBreakBefore/>
        <w:spacing w:before="180" w:after="40"/>
        <w:jc w:val="both"/>
      </w:pPr>
      <w:r>
        <w:rPr>
          <w:rFonts w:ascii="Arial" w:eastAsia="Arial" w:hAnsi="Arial"/>
          <w:b/>
          <w:color w:val="1F4E79"/>
          <w:sz w:val="22"/>
        </w:rPr>
        <w:lastRenderedPageBreak/>
        <w:t>3. Authorizations, Registrations and Regulatory Portals</w:t>
      </w:r>
    </w:p>
    <w:p w14:paraId="1351FB1D" w14:textId="77777777" w:rsidR="002D495F" w:rsidRDefault="00000000">
      <w:pPr>
        <w:spacing w:after="60"/>
        <w:jc w:val="both"/>
      </w:pPr>
      <w:r>
        <w:rPr>
          <w:rFonts w:ascii="Arial" w:eastAsia="Arial" w:hAnsi="Arial"/>
          <w:i/>
          <w:color w:val="5A5A5A"/>
          <w:sz w:val="19"/>
        </w:rPr>
        <w:t>These documents allow us to confirm that the SOFOM has the registrations, access profiles and acknowledgments required to operate and report through the applicable regulatory platforms.</w:t>
      </w:r>
    </w:p>
    <w:tbl>
      <w:tblPr>
        <w:tblW w:w="9315" w:type="dxa"/>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7703"/>
        <w:gridCol w:w="1612"/>
      </w:tblGrid>
      <w:tr w:rsidR="002D495F" w14:paraId="4016A85E" w14:textId="77777777">
        <w:trPr>
          <w:cantSplit/>
          <w:tblHeader/>
          <w:jc w:val="center"/>
        </w:trPr>
        <w:tc>
          <w:tcPr>
            <w:tcW w:w="7703" w:type="dxa"/>
            <w:shd w:val="clear" w:color="auto" w:fill="1F4E79"/>
            <w:tcMar>
              <w:top w:w="70" w:type="dxa"/>
              <w:left w:w="80" w:type="dxa"/>
              <w:bottom w:w="70" w:type="dxa"/>
              <w:right w:w="80" w:type="dxa"/>
            </w:tcMar>
            <w:vAlign w:val="center"/>
          </w:tcPr>
          <w:p w14:paraId="4B1B377D" w14:textId="77777777" w:rsidR="002D495F" w:rsidRDefault="00000000">
            <w:r>
              <w:rPr>
                <w:rFonts w:ascii="Arial" w:eastAsia="Arial" w:hAnsi="Arial"/>
                <w:b/>
                <w:color w:val="FFFFFF"/>
                <w:sz w:val="15"/>
              </w:rPr>
              <w:t>Required documentation</w:t>
            </w:r>
          </w:p>
        </w:tc>
        <w:tc>
          <w:tcPr>
            <w:tcW w:w="1612" w:type="dxa"/>
            <w:shd w:val="clear" w:color="auto" w:fill="1F4E79"/>
            <w:tcMar>
              <w:top w:w="70" w:type="dxa"/>
              <w:left w:w="80" w:type="dxa"/>
              <w:bottom w:w="70" w:type="dxa"/>
              <w:right w:w="80" w:type="dxa"/>
            </w:tcMar>
            <w:vAlign w:val="center"/>
          </w:tcPr>
          <w:p w14:paraId="6E2C99D6" w14:textId="77777777" w:rsidR="002D495F" w:rsidRDefault="00000000">
            <w:pPr>
              <w:jc w:val="center"/>
            </w:pPr>
            <w:r>
              <w:rPr>
                <w:rFonts w:ascii="Arial" w:eastAsia="Arial" w:hAnsi="Arial"/>
                <w:b/>
                <w:color w:val="FFFFFF"/>
                <w:sz w:val="14"/>
              </w:rPr>
              <w:t>Document available</w:t>
            </w:r>
          </w:p>
        </w:tc>
      </w:tr>
      <w:tr w:rsidR="002D495F" w14:paraId="55B855F6" w14:textId="77777777">
        <w:trPr>
          <w:cantSplit/>
          <w:jc w:val="center"/>
        </w:trPr>
        <w:tc>
          <w:tcPr>
            <w:tcW w:w="7703" w:type="dxa"/>
            <w:tcMar>
              <w:top w:w="50" w:type="dxa"/>
              <w:left w:w="80" w:type="dxa"/>
              <w:bottom w:w="50" w:type="dxa"/>
              <w:right w:w="80" w:type="dxa"/>
            </w:tcMar>
            <w:vAlign w:val="center"/>
          </w:tcPr>
          <w:p w14:paraId="40460147" w14:textId="77777777" w:rsidR="002D495F" w:rsidRDefault="00000000">
            <w:r>
              <w:rPr>
                <w:rFonts w:ascii="Arial" w:eastAsia="Arial" w:hAnsi="Arial"/>
                <w:color w:val="202020"/>
                <w:sz w:val="15"/>
              </w:rPr>
              <w:t>Authorization, registration, acknowledgment or applicable evidence before CONDUSEF/SIPRES to operate as a SOFOM, depending on the type of entity.</w:t>
            </w:r>
          </w:p>
        </w:tc>
        <w:tc>
          <w:tcPr>
            <w:tcW w:w="1612" w:type="dxa"/>
            <w:tcMar>
              <w:top w:w="50" w:type="dxa"/>
              <w:left w:w="80" w:type="dxa"/>
              <w:bottom w:w="50" w:type="dxa"/>
              <w:right w:w="80" w:type="dxa"/>
            </w:tcMar>
            <w:vAlign w:val="center"/>
          </w:tcPr>
          <w:p w14:paraId="58ABE68B" w14:textId="77777777" w:rsidR="002D495F" w:rsidRDefault="00000000">
            <w:pPr>
              <w:jc w:val="center"/>
            </w:pPr>
            <w:r>
              <w:rPr>
                <w:rFonts w:ascii="Arial" w:eastAsia="Arial" w:hAnsi="Arial"/>
                <w:color w:val="202020"/>
                <w:sz w:val="19"/>
              </w:rPr>
              <w:t>☐</w:t>
            </w:r>
          </w:p>
        </w:tc>
      </w:tr>
      <w:tr w:rsidR="002D495F" w14:paraId="1CBEBEA1" w14:textId="77777777">
        <w:trPr>
          <w:cantSplit/>
          <w:jc w:val="center"/>
        </w:trPr>
        <w:tc>
          <w:tcPr>
            <w:tcW w:w="7703" w:type="dxa"/>
            <w:tcMar>
              <w:top w:w="50" w:type="dxa"/>
              <w:left w:w="80" w:type="dxa"/>
              <w:bottom w:w="50" w:type="dxa"/>
              <w:right w:w="80" w:type="dxa"/>
            </w:tcMar>
            <w:vAlign w:val="center"/>
          </w:tcPr>
          <w:p w14:paraId="1BC694B0" w14:textId="77777777" w:rsidR="002D495F" w:rsidRDefault="00000000">
            <w:r>
              <w:rPr>
                <w:rFonts w:ascii="Arial" w:eastAsia="Arial" w:hAnsi="Arial"/>
                <w:color w:val="202020"/>
                <w:sz w:val="15"/>
              </w:rPr>
              <w:t>Keys, acknowledgments or evidence of registration before the Financial Services Providers Registry System (SIPRES). Passwords or access credentials should not be sent by email.</w:t>
            </w:r>
          </w:p>
        </w:tc>
        <w:tc>
          <w:tcPr>
            <w:tcW w:w="1612" w:type="dxa"/>
            <w:tcMar>
              <w:top w:w="50" w:type="dxa"/>
              <w:left w:w="80" w:type="dxa"/>
              <w:bottom w:w="50" w:type="dxa"/>
              <w:right w:w="80" w:type="dxa"/>
            </w:tcMar>
            <w:vAlign w:val="center"/>
          </w:tcPr>
          <w:p w14:paraId="2C42E101" w14:textId="77777777" w:rsidR="002D495F" w:rsidRDefault="00000000">
            <w:pPr>
              <w:jc w:val="center"/>
            </w:pPr>
            <w:r>
              <w:rPr>
                <w:rFonts w:ascii="Arial" w:eastAsia="Arial" w:hAnsi="Arial"/>
                <w:color w:val="202020"/>
                <w:sz w:val="19"/>
              </w:rPr>
              <w:t>☐</w:t>
            </w:r>
          </w:p>
        </w:tc>
      </w:tr>
      <w:tr w:rsidR="002D495F" w14:paraId="0A3D8179" w14:textId="77777777">
        <w:trPr>
          <w:cantSplit/>
          <w:jc w:val="center"/>
        </w:trPr>
        <w:tc>
          <w:tcPr>
            <w:tcW w:w="7703" w:type="dxa"/>
            <w:tcMar>
              <w:top w:w="50" w:type="dxa"/>
              <w:left w:w="80" w:type="dxa"/>
              <w:bottom w:w="50" w:type="dxa"/>
              <w:right w:w="80" w:type="dxa"/>
            </w:tcMar>
            <w:vAlign w:val="center"/>
          </w:tcPr>
          <w:p w14:paraId="5CA3E31B" w14:textId="77777777" w:rsidR="002D495F" w:rsidRDefault="00000000">
            <w:r>
              <w:rPr>
                <w:rFonts w:ascii="Arial" w:eastAsia="Arial" w:hAnsi="Arial"/>
                <w:color w:val="202020"/>
                <w:sz w:val="15"/>
              </w:rPr>
              <w:t>Keys, acknowledgments or evidence of registration before the Integral Information System for Financial Services Operations (SITI), including acknowledgments of relevant reports, if applicable. Passwords or access credentials should not be sent by email.</w:t>
            </w:r>
          </w:p>
        </w:tc>
        <w:tc>
          <w:tcPr>
            <w:tcW w:w="1612" w:type="dxa"/>
            <w:tcMar>
              <w:top w:w="50" w:type="dxa"/>
              <w:left w:w="80" w:type="dxa"/>
              <w:bottom w:w="50" w:type="dxa"/>
              <w:right w:w="80" w:type="dxa"/>
            </w:tcMar>
            <w:vAlign w:val="center"/>
          </w:tcPr>
          <w:p w14:paraId="164C5AA1" w14:textId="77777777" w:rsidR="002D495F" w:rsidRDefault="00000000">
            <w:pPr>
              <w:jc w:val="center"/>
            </w:pPr>
            <w:r>
              <w:rPr>
                <w:rFonts w:ascii="Arial" w:eastAsia="Arial" w:hAnsi="Arial"/>
                <w:color w:val="202020"/>
                <w:sz w:val="19"/>
              </w:rPr>
              <w:t>☐</w:t>
            </w:r>
          </w:p>
        </w:tc>
      </w:tr>
    </w:tbl>
    <w:p w14:paraId="749CAE29" w14:textId="77777777" w:rsidR="002D495F" w:rsidRDefault="002D495F">
      <w:pPr>
        <w:spacing w:after="20"/>
      </w:pPr>
    </w:p>
    <w:p w14:paraId="39D2455E" w14:textId="77777777" w:rsidR="002D495F" w:rsidRDefault="00000000">
      <w:pPr>
        <w:spacing w:before="180" w:after="40"/>
        <w:jc w:val="both"/>
      </w:pPr>
      <w:r>
        <w:rPr>
          <w:rFonts w:ascii="Arial" w:eastAsia="Arial" w:hAnsi="Arial"/>
          <w:b/>
          <w:color w:val="1F4E79"/>
          <w:sz w:val="22"/>
        </w:rPr>
        <w:t>4. External Providers, Credit Information and Technology Access</w:t>
      </w:r>
    </w:p>
    <w:p w14:paraId="52BC0555" w14:textId="77777777" w:rsidR="002D495F" w:rsidRDefault="00000000">
      <w:pPr>
        <w:spacing w:after="60"/>
        <w:jc w:val="both"/>
      </w:pPr>
      <w:r>
        <w:rPr>
          <w:rFonts w:ascii="Arial" w:eastAsia="Arial" w:hAnsi="Arial"/>
          <w:i/>
          <w:color w:val="5A5A5A"/>
          <w:sz w:val="19"/>
        </w:rPr>
        <w:t>These documents allow us to review the operational and technology infrastructure supporting the provision of financial services by the SOFOM.</w:t>
      </w:r>
    </w:p>
    <w:tbl>
      <w:tblPr>
        <w:tblW w:w="9315" w:type="dxa"/>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7703"/>
        <w:gridCol w:w="1612"/>
      </w:tblGrid>
      <w:tr w:rsidR="002D495F" w14:paraId="4070144D" w14:textId="77777777">
        <w:trPr>
          <w:cantSplit/>
          <w:tblHeader/>
          <w:jc w:val="center"/>
        </w:trPr>
        <w:tc>
          <w:tcPr>
            <w:tcW w:w="7703" w:type="dxa"/>
            <w:shd w:val="clear" w:color="auto" w:fill="1F4E79"/>
            <w:tcMar>
              <w:top w:w="70" w:type="dxa"/>
              <w:left w:w="80" w:type="dxa"/>
              <w:bottom w:w="70" w:type="dxa"/>
              <w:right w:w="80" w:type="dxa"/>
            </w:tcMar>
            <w:vAlign w:val="center"/>
          </w:tcPr>
          <w:p w14:paraId="12257416" w14:textId="77777777" w:rsidR="002D495F" w:rsidRDefault="00000000">
            <w:r>
              <w:rPr>
                <w:rFonts w:ascii="Arial" w:eastAsia="Arial" w:hAnsi="Arial"/>
                <w:b/>
                <w:color w:val="FFFFFF"/>
                <w:sz w:val="15"/>
              </w:rPr>
              <w:t>Required documentation</w:t>
            </w:r>
          </w:p>
        </w:tc>
        <w:tc>
          <w:tcPr>
            <w:tcW w:w="1612" w:type="dxa"/>
            <w:shd w:val="clear" w:color="auto" w:fill="1F4E79"/>
            <w:tcMar>
              <w:top w:w="70" w:type="dxa"/>
              <w:left w:w="80" w:type="dxa"/>
              <w:bottom w:w="70" w:type="dxa"/>
              <w:right w:w="80" w:type="dxa"/>
            </w:tcMar>
            <w:vAlign w:val="center"/>
          </w:tcPr>
          <w:p w14:paraId="41E31A2D" w14:textId="77777777" w:rsidR="002D495F" w:rsidRDefault="00000000">
            <w:pPr>
              <w:jc w:val="center"/>
            </w:pPr>
            <w:r>
              <w:rPr>
                <w:rFonts w:ascii="Arial" w:eastAsia="Arial" w:hAnsi="Arial"/>
                <w:b/>
                <w:color w:val="FFFFFF"/>
                <w:sz w:val="14"/>
              </w:rPr>
              <w:t>Document available</w:t>
            </w:r>
          </w:p>
        </w:tc>
      </w:tr>
      <w:tr w:rsidR="002D495F" w14:paraId="032139EA" w14:textId="77777777">
        <w:trPr>
          <w:cantSplit/>
          <w:jc w:val="center"/>
        </w:trPr>
        <w:tc>
          <w:tcPr>
            <w:tcW w:w="7703" w:type="dxa"/>
            <w:tcMar>
              <w:top w:w="50" w:type="dxa"/>
              <w:left w:w="80" w:type="dxa"/>
              <w:bottom w:w="50" w:type="dxa"/>
              <w:right w:w="80" w:type="dxa"/>
            </w:tcMar>
            <w:vAlign w:val="center"/>
          </w:tcPr>
          <w:p w14:paraId="26C7B3A7" w14:textId="77777777" w:rsidR="002D495F" w:rsidRDefault="00000000">
            <w:r>
              <w:rPr>
                <w:rFonts w:ascii="Arial" w:eastAsia="Arial" w:hAnsi="Arial"/>
                <w:color w:val="202020"/>
                <w:sz w:val="15"/>
              </w:rPr>
              <w:t>Agreement executed with a credit information company, including annexes, operating terms, service levels and confidentiality obligations, where available.</w:t>
            </w:r>
          </w:p>
        </w:tc>
        <w:tc>
          <w:tcPr>
            <w:tcW w:w="1612" w:type="dxa"/>
            <w:tcMar>
              <w:top w:w="50" w:type="dxa"/>
              <w:left w:w="80" w:type="dxa"/>
              <w:bottom w:w="50" w:type="dxa"/>
              <w:right w:w="80" w:type="dxa"/>
            </w:tcMar>
            <w:vAlign w:val="center"/>
          </w:tcPr>
          <w:p w14:paraId="5643D3CD" w14:textId="77777777" w:rsidR="002D495F" w:rsidRDefault="00000000">
            <w:pPr>
              <w:jc w:val="center"/>
            </w:pPr>
            <w:r>
              <w:rPr>
                <w:rFonts w:ascii="Arial" w:eastAsia="Arial" w:hAnsi="Arial"/>
                <w:color w:val="202020"/>
                <w:sz w:val="19"/>
              </w:rPr>
              <w:t>☐</w:t>
            </w:r>
          </w:p>
        </w:tc>
      </w:tr>
      <w:tr w:rsidR="002D495F" w14:paraId="71EC72C9" w14:textId="77777777">
        <w:trPr>
          <w:cantSplit/>
          <w:jc w:val="center"/>
        </w:trPr>
        <w:tc>
          <w:tcPr>
            <w:tcW w:w="7703" w:type="dxa"/>
            <w:tcMar>
              <w:top w:w="50" w:type="dxa"/>
              <w:left w:w="80" w:type="dxa"/>
              <w:bottom w:w="50" w:type="dxa"/>
              <w:right w:w="80" w:type="dxa"/>
            </w:tcMar>
            <w:vAlign w:val="center"/>
          </w:tcPr>
          <w:p w14:paraId="2CB782B4" w14:textId="77777777" w:rsidR="002D495F" w:rsidRDefault="00000000">
            <w:r>
              <w:rPr>
                <w:rFonts w:ascii="Arial" w:eastAsia="Arial" w:hAnsi="Arial"/>
                <w:color w:val="202020"/>
                <w:sz w:val="15"/>
              </w:rPr>
              <w:t>Description of the APIs used by the SOFOM and, where applicable, agreements, authorizations, technical documentation or evidence of relevant integrations.</w:t>
            </w:r>
          </w:p>
        </w:tc>
        <w:tc>
          <w:tcPr>
            <w:tcW w:w="1612" w:type="dxa"/>
            <w:tcMar>
              <w:top w:w="50" w:type="dxa"/>
              <w:left w:w="80" w:type="dxa"/>
              <w:bottom w:w="50" w:type="dxa"/>
              <w:right w:w="80" w:type="dxa"/>
            </w:tcMar>
            <w:vAlign w:val="center"/>
          </w:tcPr>
          <w:p w14:paraId="171DEBD1" w14:textId="77777777" w:rsidR="002D495F" w:rsidRDefault="00000000">
            <w:pPr>
              <w:jc w:val="center"/>
            </w:pPr>
            <w:r>
              <w:rPr>
                <w:rFonts w:ascii="Arial" w:eastAsia="Arial" w:hAnsi="Arial"/>
                <w:color w:val="202020"/>
                <w:sz w:val="19"/>
              </w:rPr>
              <w:t>☐</w:t>
            </w:r>
          </w:p>
        </w:tc>
      </w:tr>
      <w:tr w:rsidR="002D495F" w14:paraId="4C629049" w14:textId="77777777">
        <w:trPr>
          <w:cantSplit/>
          <w:jc w:val="center"/>
        </w:trPr>
        <w:tc>
          <w:tcPr>
            <w:tcW w:w="7703" w:type="dxa"/>
            <w:tcMar>
              <w:top w:w="50" w:type="dxa"/>
              <w:left w:w="80" w:type="dxa"/>
              <w:bottom w:w="50" w:type="dxa"/>
              <w:right w:w="80" w:type="dxa"/>
            </w:tcMar>
            <w:vAlign w:val="center"/>
          </w:tcPr>
          <w:p w14:paraId="16FC7C43" w14:textId="77777777" w:rsidR="002D495F" w:rsidRDefault="00000000">
            <w:r>
              <w:rPr>
                <w:rFonts w:ascii="Arial" w:eastAsia="Arial" w:hAnsi="Arial"/>
                <w:color w:val="202020"/>
                <w:sz w:val="15"/>
              </w:rPr>
              <w:t>API keys, tokens, secrets, private keys, administrator passwords or other sensitive access elements should not be sent by email; where necessary, they should be reviewed through controlled access, a secure channel or a supervised remote session.</w:t>
            </w:r>
          </w:p>
        </w:tc>
        <w:tc>
          <w:tcPr>
            <w:tcW w:w="1612" w:type="dxa"/>
            <w:tcMar>
              <w:top w:w="50" w:type="dxa"/>
              <w:left w:w="80" w:type="dxa"/>
              <w:bottom w:w="50" w:type="dxa"/>
              <w:right w:w="80" w:type="dxa"/>
            </w:tcMar>
            <w:vAlign w:val="center"/>
          </w:tcPr>
          <w:p w14:paraId="6F37D7E6" w14:textId="77777777" w:rsidR="002D495F" w:rsidRDefault="00000000">
            <w:pPr>
              <w:jc w:val="center"/>
            </w:pPr>
            <w:r>
              <w:rPr>
                <w:rFonts w:ascii="Arial" w:eastAsia="Arial" w:hAnsi="Arial"/>
                <w:color w:val="202020"/>
                <w:sz w:val="19"/>
              </w:rPr>
              <w:t>☐</w:t>
            </w:r>
          </w:p>
        </w:tc>
      </w:tr>
    </w:tbl>
    <w:p w14:paraId="7C461290" w14:textId="77777777" w:rsidR="002D495F" w:rsidRDefault="002D495F">
      <w:pPr>
        <w:spacing w:after="20"/>
      </w:pPr>
    </w:p>
    <w:p w14:paraId="27431A8C" w14:textId="77777777" w:rsidR="002D495F" w:rsidRDefault="00000000">
      <w:pPr>
        <w:spacing w:before="180" w:after="40"/>
        <w:jc w:val="both"/>
      </w:pPr>
      <w:r>
        <w:rPr>
          <w:rFonts w:ascii="Arial" w:eastAsia="Arial" w:hAnsi="Arial"/>
          <w:b/>
          <w:color w:val="1F4E79"/>
          <w:sz w:val="22"/>
        </w:rPr>
        <w:t>5. Data Room and Controlled Access Protocol</w:t>
      </w:r>
    </w:p>
    <w:p w14:paraId="545E26A1" w14:textId="77777777" w:rsidR="002D495F" w:rsidRDefault="00000000">
      <w:pPr>
        <w:spacing w:after="60"/>
        <w:jc w:val="both"/>
      </w:pPr>
      <w:r>
        <w:rPr>
          <w:rFonts w:ascii="Arial" w:eastAsia="Arial" w:hAnsi="Arial"/>
          <w:i/>
          <w:color w:val="5A5A5A"/>
          <w:sz w:val="19"/>
        </w:rPr>
        <w:t>To make the review efficient and secure, information should be delivered in a structured, traceable and protected manner.</w:t>
      </w:r>
    </w:p>
    <w:tbl>
      <w:tblPr>
        <w:tblW w:w="9315" w:type="dxa"/>
        <w:jc w:val="center"/>
        <w:tblBorders>
          <w:top w:val="single" w:sz="4" w:space="0" w:color="9E9E9E"/>
          <w:left w:val="single" w:sz="4" w:space="0" w:color="9E9E9E"/>
          <w:bottom w:val="single" w:sz="4" w:space="0" w:color="9E9E9E"/>
          <w:right w:val="single" w:sz="4" w:space="0" w:color="9E9E9E"/>
          <w:insideH w:val="single" w:sz="4" w:space="0" w:color="9E9E9E"/>
          <w:insideV w:val="single" w:sz="4" w:space="0" w:color="9E9E9E"/>
        </w:tblBorders>
        <w:tblLayout w:type="fixed"/>
        <w:tblLook w:val="04A0" w:firstRow="1" w:lastRow="0" w:firstColumn="1" w:lastColumn="0" w:noHBand="0" w:noVBand="1"/>
      </w:tblPr>
      <w:tblGrid>
        <w:gridCol w:w="7703"/>
        <w:gridCol w:w="1612"/>
      </w:tblGrid>
      <w:tr w:rsidR="002D495F" w14:paraId="49335E50" w14:textId="77777777">
        <w:trPr>
          <w:cantSplit/>
          <w:tblHeader/>
          <w:jc w:val="center"/>
        </w:trPr>
        <w:tc>
          <w:tcPr>
            <w:tcW w:w="7703" w:type="dxa"/>
            <w:shd w:val="clear" w:color="auto" w:fill="1F4E79"/>
            <w:tcMar>
              <w:top w:w="70" w:type="dxa"/>
              <w:left w:w="80" w:type="dxa"/>
              <w:bottom w:w="70" w:type="dxa"/>
              <w:right w:w="80" w:type="dxa"/>
            </w:tcMar>
            <w:vAlign w:val="center"/>
          </w:tcPr>
          <w:p w14:paraId="3AFCCA0D" w14:textId="77777777" w:rsidR="002D495F" w:rsidRDefault="00000000">
            <w:r>
              <w:rPr>
                <w:rFonts w:ascii="Arial" w:eastAsia="Arial" w:hAnsi="Arial"/>
                <w:b/>
                <w:color w:val="FFFFFF"/>
                <w:sz w:val="15"/>
              </w:rPr>
              <w:t>Required documentation</w:t>
            </w:r>
          </w:p>
        </w:tc>
        <w:tc>
          <w:tcPr>
            <w:tcW w:w="1612" w:type="dxa"/>
            <w:shd w:val="clear" w:color="auto" w:fill="1F4E79"/>
            <w:tcMar>
              <w:top w:w="70" w:type="dxa"/>
              <w:left w:w="80" w:type="dxa"/>
              <w:bottom w:w="70" w:type="dxa"/>
              <w:right w:w="80" w:type="dxa"/>
            </w:tcMar>
            <w:vAlign w:val="center"/>
          </w:tcPr>
          <w:p w14:paraId="0EE02D37" w14:textId="77777777" w:rsidR="002D495F" w:rsidRDefault="00000000">
            <w:pPr>
              <w:jc w:val="center"/>
            </w:pPr>
            <w:r>
              <w:rPr>
                <w:rFonts w:ascii="Arial" w:eastAsia="Arial" w:hAnsi="Arial"/>
                <w:b/>
                <w:color w:val="FFFFFF"/>
                <w:sz w:val="14"/>
              </w:rPr>
              <w:t>Document available</w:t>
            </w:r>
          </w:p>
        </w:tc>
      </w:tr>
      <w:tr w:rsidR="002D495F" w14:paraId="1AC71D9F" w14:textId="77777777">
        <w:trPr>
          <w:cantSplit/>
          <w:jc w:val="center"/>
        </w:trPr>
        <w:tc>
          <w:tcPr>
            <w:tcW w:w="7703" w:type="dxa"/>
            <w:tcMar>
              <w:top w:w="50" w:type="dxa"/>
              <w:left w:w="80" w:type="dxa"/>
              <w:bottom w:w="50" w:type="dxa"/>
              <w:right w:w="80" w:type="dxa"/>
            </w:tcMar>
            <w:vAlign w:val="center"/>
          </w:tcPr>
          <w:p w14:paraId="52B5F9E7" w14:textId="77777777" w:rsidR="002D495F" w:rsidRDefault="00000000">
            <w:r>
              <w:rPr>
                <w:rFonts w:ascii="Arial" w:eastAsia="Arial" w:hAnsi="Arial"/>
                <w:color w:val="202020"/>
                <w:sz w:val="15"/>
              </w:rPr>
              <w:t>Data room index organized by folder, document name, version date and a short description of each file.</w:t>
            </w:r>
          </w:p>
        </w:tc>
        <w:tc>
          <w:tcPr>
            <w:tcW w:w="1612" w:type="dxa"/>
            <w:tcMar>
              <w:top w:w="50" w:type="dxa"/>
              <w:left w:w="80" w:type="dxa"/>
              <w:bottom w:w="50" w:type="dxa"/>
              <w:right w:w="80" w:type="dxa"/>
            </w:tcMar>
            <w:vAlign w:val="center"/>
          </w:tcPr>
          <w:p w14:paraId="2A4100C4" w14:textId="77777777" w:rsidR="002D495F" w:rsidRDefault="00000000">
            <w:pPr>
              <w:jc w:val="center"/>
            </w:pPr>
            <w:r>
              <w:rPr>
                <w:rFonts w:ascii="Arial" w:eastAsia="Arial" w:hAnsi="Arial"/>
                <w:color w:val="202020"/>
                <w:sz w:val="19"/>
              </w:rPr>
              <w:t>☐</w:t>
            </w:r>
          </w:p>
        </w:tc>
      </w:tr>
      <w:tr w:rsidR="002D495F" w14:paraId="5198469A" w14:textId="77777777">
        <w:trPr>
          <w:cantSplit/>
          <w:jc w:val="center"/>
        </w:trPr>
        <w:tc>
          <w:tcPr>
            <w:tcW w:w="7703" w:type="dxa"/>
            <w:tcMar>
              <w:top w:w="50" w:type="dxa"/>
              <w:left w:w="80" w:type="dxa"/>
              <w:bottom w:w="50" w:type="dxa"/>
              <w:right w:w="80" w:type="dxa"/>
            </w:tcMar>
            <w:vAlign w:val="center"/>
          </w:tcPr>
          <w:p w14:paraId="63C81C00" w14:textId="77777777" w:rsidR="002D495F" w:rsidRDefault="00000000">
            <w:r>
              <w:rPr>
                <w:rFonts w:ascii="Arial" w:eastAsia="Arial" w:hAnsi="Arial"/>
                <w:color w:val="202020"/>
                <w:sz w:val="15"/>
              </w:rPr>
              <w:t>Documents should be provided in searchable PDF format whenever possible; databases, reconciliations, reports and technical materials should also be provided in editable or native format when relevant.</w:t>
            </w:r>
          </w:p>
        </w:tc>
        <w:tc>
          <w:tcPr>
            <w:tcW w:w="1612" w:type="dxa"/>
            <w:tcMar>
              <w:top w:w="50" w:type="dxa"/>
              <w:left w:w="80" w:type="dxa"/>
              <w:bottom w:w="50" w:type="dxa"/>
              <w:right w:w="80" w:type="dxa"/>
            </w:tcMar>
            <w:vAlign w:val="center"/>
          </w:tcPr>
          <w:p w14:paraId="0EE71188" w14:textId="77777777" w:rsidR="002D495F" w:rsidRDefault="00000000">
            <w:pPr>
              <w:jc w:val="center"/>
            </w:pPr>
            <w:r>
              <w:rPr>
                <w:rFonts w:ascii="Arial" w:eastAsia="Arial" w:hAnsi="Arial"/>
                <w:color w:val="202020"/>
                <w:sz w:val="19"/>
              </w:rPr>
              <w:t>☐</w:t>
            </w:r>
          </w:p>
        </w:tc>
      </w:tr>
      <w:tr w:rsidR="002D495F" w14:paraId="16ACD1CB" w14:textId="77777777">
        <w:trPr>
          <w:cantSplit/>
          <w:jc w:val="center"/>
        </w:trPr>
        <w:tc>
          <w:tcPr>
            <w:tcW w:w="7703" w:type="dxa"/>
            <w:tcMar>
              <w:top w:w="50" w:type="dxa"/>
              <w:left w:w="80" w:type="dxa"/>
              <w:bottom w:w="50" w:type="dxa"/>
              <w:right w:w="80" w:type="dxa"/>
            </w:tcMar>
            <w:vAlign w:val="center"/>
          </w:tcPr>
          <w:p w14:paraId="59D964A0" w14:textId="77777777" w:rsidR="002D495F" w:rsidRDefault="00000000">
            <w:r>
              <w:rPr>
                <w:rFonts w:ascii="Arial" w:eastAsia="Arial" w:hAnsi="Arial"/>
                <w:color w:val="202020"/>
                <w:sz w:val="15"/>
              </w:rPr>
              <w:t>Any missing, incomplete or non-applicable document should be identified with a brief explanation and, where possible, equivalent evidence or an estimated delivery date.</w:t>
            </w:r>
          </w:p>
        </w:tc>
        <w:tc>
          <w:tcPr>
            <w:tcW w:w="1612" w:type="dxa"/>
            <w:tcMar>
              <w:top w:w="50" w:type="dxa"/>
              <w:left w:w="80" w:type="dxa"/>
              <w:bottom w:w="50" w:type="dxa"/>
              <w:right w:w="80" w:type="dxa"/>
            </w:tcMar>
            <w:vAlign w:val="center"/>
          </w:tcPr>
          <w:p w14:paraId="03F6306F" w14:textId="77777777" w:rsidR="002D495F" w:rsidRDefault="00000000">
            <w:pPr>
              <w:jc w:val="center"/>
            </w:pPr>
            <w:r>
              <w:rPr>
                <w:rFonts w:ascii="Arial" w:eastAsia="Arial" w:hAnsi="Arial"/>
                <w:color w:val="202020"/>
                <w:sz w:val="19"/>
              </w:rPr>
              <w:t>☐</w:t>
            </w:r>
          </w:p>
        </w:tc>
      </w:tr>
    </w:tbl>
    <w:p w14:paraId="7EF90673" w14:textId="77777777" w:rsidR="002D495F" w:rsidRDefault="002D495F">
      <w:pPr>
        <w:spacing w:after="20"/>
      </w:pPr>
    </w:p>
    <w:p w14:paraId="32796257" w14:textId="77777777" w:rsidR="002D495F" w:rsidRDefault="002D495F">
      <w:pPr>
        <w:pBdr>
          <w:bottom w:val="single" w:sz="8" w:space="1" w:color="1F4E79"/>
        </w:pBdr>
        <w:spacing w:before="280" w:after="80"/>
      </w:pPr>
    </w:p>
    <w:p w14:paraId="75BE611E" w14:textId="77777777" w:rsidR="002D495F" w:rsidRDefault="00000000">
      <w:pPr>
        <w:spacing w:after="40"/>
      </w:pPr>
      <w:r>
        <w:rPr>
          <w:rFonts w:ascii="Arial" w:eastAsia="Arial" w:hAnsi="Arial"/>
          <w:b/>
          <w:color w:val="1F4E79"/>
          <w:sz w:val="21"/>
        </w:rPr>
        <w:t>Final note</w:t>
      </w:r>
    </w:p>
    <w:p w14:paraId="23A0C0F9" w14:textId="77777777" w:rsidR="002D495F" w:rsidRDefault="00000000">
      <w:pPr>
        <w:jc w:val="both"/>
      </w:pPr>
      <w:r>
        <w:rPr>
          <w:rFonts w:ascii="Arial" w:eastAsia="Arial" w:hAnsi="Arial"/>
          <w:color w:val="202020"/>
          <w:sz w:val="19"/>
        </w:rPr>
        <w:t>This document is intended as an initial professional request for information. Rusconi Consulting may request additional documents, confirmations, interviews or system reviews if the information provided reveals inconsistencies, incomplete records, regulatory observations, tax contingencies, technology risks, labor contingencies or other matters relevant to the due diligence review.</w:t>
      </w:r>
    </w:p>
    <w:sectPr w:rsidR="002D495F">
      <w:headerReference w:type="default" r:id="rId7"/>
      <w:pgSz w:w="12240" w:h="15840"/>
      <w:pgMar w:top="1872" w:right="1368" w:bottom="2088" w:left="1440" w:header="216" w:footer="2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74870" w14:textId="77777777" w:rsidR="00ED4974" w:rsidRDefault="00ED4974" w:rsidP="001D7F5B">
      <w:r>
        <w:separator/>
      </w:r>
    </w:p>
  </w:endnote>
  <w:endnote w:type="continuationSeparator" w:id="0">
    <w:p w14:paraId="3A3DE5DD" w14:textId="77777777" w:rsidR="00ED4974" w:rsidRDefault="00ED4974" w:rsidP="001D7F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0A421" w14:textId="77777777" w:rsidR="00ED4974" w:rsidRDefault="00ED4974" w:rsidP="001D7F5B">
      <w:r>
        <w:separator/>
      </w:r>
    </w:p>
  </w:footnote>
  <w:footnote w:type="continuationSeparator" w:id="0">
    <w:p w14:paraId="429E23FA" w14:textId="77777777" w:rsidR="00ED4974" w:rsidRDefault="00ED4974" w:rsidP="001D7F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D22CB" w14:textId="77777777" w:rsidR="001D7F5B" w:rsidRDefault="001D7F5B">
    <w:pPr>
      <w:pStyle w:val="Encabezado"/>
    </w:pPr>
    <w:r>
      <w:rPr>
        <w:noProof/>
      </w:rPr>
      <w:drawing>
        <wp:anchor distT="0" distB="0" distL="114300" distR="114300" simplePos="0" relativeHeight="251658240" behindDoc="1" locked="0" layoutInCell="1" allowOverlap="1" wp14:anchorId="6A309395" wp14:editId="4544E051">
          <wp:simplePos x="0" y="0"/>
          <wp:positionH relativeFrom="column">
            <wp:posOffset>-926275</wp:posOffset>
          </wp:positionH>
          <wp:positionV relativeFrom="paragraph">
            <wp:posOffset>-461431</wp:posOffset>
          </wp:positionV>
          <wp:extent cx="7778845" cy="10066740"/>
          <wp:effectExtent l="0" t="0" r="6350" b="4445"/>
          <wp:wrapNone/>
          <wp:docPr id="186426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6786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78845" cy="100667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2A56"/>
    <w:multiLevelType w:val="hybridMultilevel"/>
    <w:tmpl w:val="DC74DC7E"/>
    <w:lvl w:ilvl="0" w:tplc="7354E1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5393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F5B"/>
    <w:rsid w:val="00031FAF"/>
    <w:rsid w:val="000B72EB"/>
    <w:rsid w:val="00105C17"/>
    <w:rsid w:val="001D7F5B"/>
    <w:rsid w:val="0024039F"/>
    <w:rsid w:val="002D495F"/>
    <w:rsid w:val="002E1B3A"/>
    <w:rsid w:val="002F0DE2"/>
    <w:rsid w:val="007924B7"/>
    <w:rsid w:val="008D2FF1"/>
    <w:rsid w:val="009938B5"/>
    <w:rsid w:val="009D61D2"/>
    <w:rsid w:val="00A17B43"/>
    <w:rsid w:val="00AD1F86"/>
    <w:rsid w:val="00AF1A74"/>
    <w:rsid w:val="00B1480F"/>
    <w:rsid w:val="00B80721"/>
    <w:rsid w:val="00BC21E9"/>
    <w:rsid w:val="00C13BAD"/>
    <w:rsid w:val="00C85B79"/>
    <w:rsid w:val="00D4062D"/>
    <w:rsid w:val="00DA09AC"/>
    <w:rsid w:val="00ED4974"/>
    <w:rsid w:val="00EF401E"/>
    <w:rsid w:val="00FD2C05"/>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876D1"/>
  <w15:chartTrackingRefBased/>
  <w15:docId w15:val="{099273DA-DF33-7C4A-A210-8A08B5CE4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E9"/>
    <w:pPr>
      <w:spacing w:after="0" w:line="240" w:lineRule="auto"/>
    </w:pPr>
    <w:rPr>
      <w:rFonts w:eastAsiaTheme="minorEastAsia"/>
      <w:kern w:val="0"/>
      <w:lang w:val="es-ES_tradnl"/>
      <w14:ligatures w14:val="none"/>
    </w:rPr>
  </w:style>
  <w:style w:type="paragraph" w:styleId="Ttulo1">
    <w:name w:val="heading 1"/>
    <w:basedOn w:val="Normal"/>
    <w:next w:val="Normal"/>
    <w:link w:val="Ttulo1Car"/>
    <w:uiPriority w:val="9"/>
    <w:qFormat/>
    <w:rsid w:val="001D7F5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1D7F5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1D7F5B"/>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1D7F5B"/>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1D7F5B"/>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1D7F5B"/>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1D7F5B"/>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1D7F5B"/>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1D7F5B"/>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7F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D7F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D7F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D7F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D7F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D7F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7F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7F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7F5B"/>
    <w:rPr>
      <w:rFonts w:eastAsiaTheme="majorEastAsia" w:cstheme="majorBidi"/>
      <w:color w:val="272727" w:themeColor="text1" w:themeTint="D8"/>
    </w:rPr>
  </w:style>
  <w:style w:type="paragraph" w:styleId="Ttulo">
    <w:name w:val="Title"/>
    <w:basedOn w:val="Normal"/>
    <w:next w:val="Normal"/>
    <w:link w:val="TtuloCar"/>
    <w:uiPriority w:val="10"/>
    <w:qFormat/>
    <w:rsid w:val="001D7F5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1D7F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7F5B"/>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1D7F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7F5B"/>
    <w:pPr>
      <w:spacing w:before="160" w:after="160" w:line="278" w:lineRule="auto"/>
      <w:jc w:val="center"/>
    </w:pPr>
    <w:rPr>
      <w:rFonts w:eastAsiaTheme="minorHAnsi"/>
      <w:i/>
      <w:iCs/>
      <w:color w:val="404040" w:themeColor="text1" w:themeTint="BF"/>
      <w:kern w:val="2"/>
      <w14:ligatures w14:val="standardContextual"/>
    </w:rPr>
  </w:style>
  <w:style w:type="character" w:customStyle="1" w:styleId="CitaCar">
    <w:name w:val="Cita Car"/>
    <w:basedOn w:val="Fuentedeprrafopredeter"/>
    <w:link w:val="Cita"/>
    <w:uiPriority w:val="29"/>
    <w:rsid w:val="001D7F5B"/>
    <w:rPr>
      <w:i/>
      <w:iCs/>
      <w:color w:val="404040" w:themeColor="text1" w:themeTint="BF"/>
    </w:rPr>
  </w:style>
  <w:style w:type="paragraph" w:styleId="Prrafodelista">
    <w:name w:val="List Paragraph"/>
    <w:basedOn w:val="Normal"/>
    <w:uiPriority w:val="34"/>
    <w:qFormat/>
    <w:rsid w:val="001D7F5B"/>
    <w:pPr>
      <w:spacing w:after="160" w:line="278" w:lineRule="auto"/>
      <w:ind w:left="720"/>
      <w:contextualSpacing/>
    </w:pPr>
    <w:rPr>
      <w:rFonts w:eastAsiaTheme="minorHAnsi"/>
      <w:kern w:val="2"/>
      <w14:ligatures w14:val="standardContextual"/>
    </w:rPr>
  </w:style>
  <w:style w:type="character" w:styleId="nfasisintenso">
    <w:name w:val="Intense Emphasis"/>
    <w:basedOn w:val="Fuentedeprrafopredeter"/>
    <w:uiPriority w:val="21"/>
    <w:qFormat/>
    <w:rsid w:val="001D7F5B"/>
    <w:rPr>
      <w:i/>
      <w:iCs/>
      <w:color w:val="0F4761" w:themeColor="accent1" w:themeShade="BF"/>
    </w:rPr>
  </w:style>
  <w:style w:type="paragraph" w:styleId="Citadestacada">
    <w:name w:val="Intense Quote"/>
    <w:basedOn w:val="Normal"/>
    <w:next w:val="Normal"/>
    <w:link w:val="CitadestacadaCar"/>
    <w:uiPriority w:val="30"/>
    <w:qFormat/>
    <w:rsid w:val="001D7F5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1D7F5B"/>
    <w:rPr>
      <w:i/>
      <w:iCs/>
      <w:color w:val="0F4761" w:themeColor="accent1" w:themeShade="BF"/>
    </w:rPr>
  </w:style>
  <w:style w:type="character" w:styleId="Referenciaintensa">
    <w:name w:val="Intense Reference"/>
    <w:basedOn w:val="Fuentedeprrafopredeter"/>
    <w:uiPriority w:val="32"/>
    <w:qFormat/>
    <w:rsid w:val="001D7F5B"/>
    <w:rPr>
      <w:b/>
      <w:bCs/>
      <w:smallCaps/>
      <w:color w:val="0F4761" w:themeColor="accent1" w:themeShade="BF"/>
      <w:spacing w:val="5"/>
    </w:rPr>
  </w:style>
  <w:style w:type="paragraph" w:styleId="Encabezado">
    <w:name w:val="header"/>
    <w:basedOn w:val="Normal"/>
    <w:link w:val="EncabezadoCar"/>
    <w:uiPriority w:val="99"/>
    <w:unhideWhenUsed/>
    <w:rsid w:val="001D7F5B"/>
    <w:pPr>
      <w:tabs>
        <w:tab w:val="center" w:pos="4680"/>
        <w:tab w:val="right" w:pos="9360"/>
      </w:tabs>
    </w:pPr>
    <w:rPr>
      <w:rFonts w:eastAsiaTheme="minorHAnsi"/>
      <w:kern w:val="2"/>
      <w14:ligatures w14:val="standardContextual"/>
    </w:rPr>
  </w:style>
  <w:style w:type="character" w:customStyle="1" w:styleId="EncabezadoCar">
    <w:name w:val="Encabezado Car"/>
    <w:basedOn w:val="Fuentedeprrafopredeter"/>
    <w:link w:val="Encabezado"/>
    <w:uiPriority w:val="99"/>
    <w:rsid w:val="001D7F5B"/>
  </w:style>
  <w:style w:type="paragraph" w:styleId="Piedepgina">
    <w:name w:val="footer"/>
    <w:basedOn w:val="Normal"/>
    <w:link w:val="PiedepginaCar"/>
    <w:uiPriority w:val="99"/>
    <w:unhideWhenUsed/>
    <w:rsid w:val="001D7F5B"/>
    <w:pPr>
      <w:tabs>
        <w:tab w:val="center" w:pos="4680"/>
        <w:tab w:val="right" w:pos="9360"/>
      </w:tabs>
    </w:pPr>
  </w:style>
  <w:style w:type="character" w:customStyle="1" w:styleId="PiedepginaCar">
    <w:name w:val="Pie de página Car"/>
    <w:basedOn w:val="Fuentedeprrafopredeter"/>
    <w:link w:val="Piedepgina"/>
    <w:uiPriority w:val="99"/>
    <w:rsid w:val="001D7F5B"/>
  </w:style>
  <w:style w:type="table" w:styleId="Tablaconcuadrcula">
    <w:name w:val="Table Grid"/>
    <w:basedOn w:val="Tablanormal"/>
    <w:uiPriority w:val="59"/>
    <w:rsid w:val="00BC21E9"/>
    <w:pPr>
      <w:spacing w:after="0" w:line="240" w:lineRule="auto"/>
    </w:pPr>
    <w:rPr>
      <w:rFonts w:eastAsiaTheme="minorEastAsia"/>
      <w:kern w:val="0"/>
      <w:lang w:val="es-ES_tradn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773</Words>
  <Characters>4254</Characters>
  <Application>Microsoft Office Word</Application>
  <DocSecurity>0</DocSecurity>
  <Lines>35</Lines>
  <Paragraphs>10</Paragraphs>
  <ScaleCrop>false</ScaleCrop>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Required Documentation for IFPE Due Diligence</dc:title>
  <dc:subject>Client-facing document request for due diligence of an Electronic Payment Funds Institution</dc:subject>
  <dc:creator>Rusconi Consulting</dc:creator>
  <cp:keywords>IFPE, due diligence, Rusconi Consulting, fintech, Mexico</cp:keywords>
  <dc:description/>
  <cp:lastModifiedBy>Eduardo Miguel Rusconi Trujillo</cp:lastModifiedBy>
  <cp:revision>2</cp:revision>
  <dcterms:created xsi:type="dcterms:W3CDTF">2026-07-06T19:53:00Z</dcterms:created>
  <dcterms:modified xsi:type="dcterms:W3CDTF">2026-07-06T19:53:00Z</dcterms:modified>
</cp:coreProperties>
</file>