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GT/0097               DATE: 13/01/2026</w:t>
      </w:r>
    </w:p>
    <w:p>
      <w:r>
        <w:t xml:space="preserve">SUPPLIER: HEALTH RESEARCH AUTHORITYHSN/SAC: 998311</w:t>
      </w:r>
    </w:p>
    <w:p>
      <w:r>
        <w:t xml:space="preserve">PLACE OF SUPPLY: 24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PORTLAND CEMENT 53 GRADE                          RS. 1,901.00</w:t>
      </w:r>
    </w:p>
    <w:p>
      <w:r>
        <w:t xml:space="preserve">OFFICE CHAIRS                                     RS. 3,802.00</w:t>
      </w:r>
    </w:p>
    <w:p>
      <w:r>
        <w:t xml:space="preserve">--------------------------------------------------------------</w:t>
      </w:r>
    </w:p>
    <w:p>
      <w:r>
        <w:t xml:space="preserve">CGST                                                RS. 513.27</w:t>
      </w:r>
    </w:p>
    <w:p>
      <w:r>
        <w:t xml:space="preserve">SGST                                                RS. 513.27</w:t>
      </w:r>
    </w:p>
    <w:p>
      <w:r>
        <w:t xml:space="preserve">AMOUNT PAYABLE                                    RS. 6,729.54</w:t>
      </w:r>
    </w:p>
    <w:p>
      <w:r>
        <w:t xml:space="preserve">SUBTOTAL                                          RS. 5,703.00</w:t>
      </w:r>
    </w:p>
    <w:p>
      <w:r>
        <w:t xml:space="preserve">PURCHASE ORDER: 4500091827</w:t>
      </w:r>
    </w:p>
    <w:p>
      <w:r>
        <w:t xml:space="preserve">TERMS: NET 30 DAYS. INTEREST 24% PER ANNUM AFTER DUE DATE.</w:t>
      </w:r>
    </w:p>
  </w:body>
</w:document>
</file>

<file path=word/_rels/document.xml.rels><?xml version="1.0" encoding="UTF-8" standalone="yes"?><Relationships xmlns="http://schemas.openxmlformats.org/package/2006/relationships"/>
</file>