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GT/0093</w:t>
      </w:r>
    </w:p>
    <w:p>
      <w:r>
        <w:t xml:space="preserve">DATE: 2026-09-09</w:t>
      </w:r>
    </w:p>
    <w:p>
      <w:r>
        <w:t xml:space="preserve">SUPPLIER: BEDFORD UNITARY AUTHORITY</w:t>
      </w:r>
    </w:p>
    <w:p>
      <w:r>
        <w:t xml:space="preserve">HSN/SAC: 998311</w:t>
      </w:r>
    </w:p>
    <w:p>
      <w:r>
        <w:t xml:space="preserve">PLACE OF SUPPLY: 27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CONSULTANCY RETAINER                              1,827.00 GBP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1,827.00 GBP</w:t>
      </w:r>
    </w:p>
    <w:p>
      <w:r>
        <w:t xml:space="preserve">IGST                                                328.86 GBP</w:t>
      </w:r>
    </w:p>
    <w:p>
      <w:r>
        <w:t xml:space="preserve">TOTAL                                             2,155.86 GBP</w:t>
      </w:r>
    </w:p>
  </w:body>
</w:document>
</file>

<file path=word/_rels/document.xml.rels><?xml version="1.0" encoding="UTF-8" standalone="yes"?><Relationships xmlns="http://schemas.openxmlformats.org/package/2006/relationships"/>
</file>