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D2244"/>
          <w:sz w:val="72"/>
          <w:szCs w:val="72"/>
        </w:rPr>
        <w:t xml:space="preserve">VPM COIN</w:t>
      </w:r>
    </w:p>
    <w:p>
      <w:pPr>
        <w:spacing w:after="120"/>
        <w:jc w:val="center"/>
      </w:pPr>
      <w:r>
        <w:rPr>
          <w:rFonts w:ascii="Arial" w:cs="Arial" w:eastAsia="Arial" w:hAnsi="Arial"/>
          <w:color w:val="B8860B"/>
          <w:sz w:val="36"/>
          <w:szCs w:val="36"/>
        </w:rPr>
        <w:t xml:space="preserve">Virtual Private Money</w:t>
      </w:r>
    </w:p>
    <w:p>
      <w:pPr>
        <w:spacing w:after="800"/>
        <w:jc w:val="center"/>
      </w:pPr>
      <w:r>
        <w:rPr>
          <w:rFonts w:ascii="Arial" w:cs="Arial" w:eastAsia="Arial" w:hAnsi="Arial"/>
          <w:color w:val="666666"/>
          <w:sz w:val="24"/>
          <w:szCs w:val="24"/>
        </w:rPr>
        <w:t xml:space="preserve">ERC-20 Loyalty Token — Belgisch Handelaarsnetwerk</w:t>
      </w:r>
    </w:p>
    <w:p>
      <w:pPr>
        <w:pBdr>
          <w:bottom w:val="single" w:color="B8860B" w:sz="4" w:space="1"/>
        </w:pBdr>
        <w:spacing w:after="240"/>
      </w:pPr>
      <w:r>
        <w:t xml:space="preserve"/>
      </w:r>
    </w:p>
    <w:p>
      <w:pPr>
        <w:spacing w:after="200"/>
        <w:jc w:val="center"/>
      </w:pPr>
      <w:r>
        <w:rPr>
          <w:rFonts w:ascii="Arial" w:cs="Arial" w:eastAsia="Arial" w:hAnsi="Arial"/>
          <w:b/>
          <w:bCs/>
          <w:color w:val="0D2244"/>
          <w:sz w:val="28"/>
          <w:szCs w:val="28"/>
        </w:rPr>
        <w:t xml:space="preserve">WHITEPAPER v1.0</w:t>
      </w:r>
    </w:p>
    <w:p>
      <w:pPr>
        <w:spacing w:after="2400"/>
        <w:jc w:val="center"/>
      </w:pPr>
      <w:r>
        <w:rPr>
          <w:rFonts w:ascii="Arial" w:cs="Arial" w:eastAsia="Arial" w:hAnsi="Arial"/>
          <w:color w:val="888888"/>
          <w:sz w:val="22"/>
          <w:szCs w:val="22"/>
        </w:rPr>
        <w:t xml:space="preserve">Belgie — 2025</w:t>
      </w:r>
    </w:p>
    <w:p>
      <w:r>
        <w:br w:type="page"/>
      </w:r>
    </w:p>
    <w:p>
      <w:pPr>
        <w:pStyle w:val="Heading1"/>
        <w:spacing w:after="160" w:before="480"/>
      </w:pPr>
      <w:r>
        <w:rPr>
          <w:rFonts w:ascii="Arial" w:cs="Arial" w:eastAsia="Arial" w:hAnsi="Arial"/>
          <w:b/>
          <w:bCs/>
          <w:color w:val="0D2244"/>
          <w:sz w:val="36"/>
          <w:szCs w:val="36"/>
        </w:rPr>
        <w:t xml:space="preserve">1. Samenvatting (Executive Summary)</w:t>
      </w:r>
    </w:p>
    <w:p>
      <w:pPr>
        <w:spacing w:after="120" w:before="80"/>
      </w:pPr>
      <w:r>
        <w:rPr>
          <w:rFonts w:ascii="Arial" w:cs="Arial" w:eastAsia="Arial" w:hAnsi="Arial"/>
          <w:sz w:val="22"/>
          <w:szCs w:val="22"/>
        </w:rPr>
        <w:t xml:space="preserve">VPM Coin (ticker: VPM) is een ERC-20 smart contract token op de Ethereum blockchain, specifiek ontwikkeld als loyaliteitstoken voor het Belgische handelslandschap. De token stelt handelaars in staat hun klanten te belonen na elke aankoop, waarbij een transparant en fraudebestendig systeem on-chain wordt geregistreerd.</w:t>
      </w:r>
    </w:p>
    <w:p>
      <w:pPr>
        <w:spacing w:after="120"/>
      </w:pPr>
      <w:r>
        <w:t xml:space="preserve"/>
      </w:r>
    </w:p>
    <w:p>
      <w:pPr>
        <w:spacing w:after="120" w:before="80"/>
      </w:pPr>
      <w:r>
        <w:rPr>
          <w:rFonts w:ascii="Arial" w:cs="Arial" w:eastAsia="Arial" w:hAnsi="Arial"/>
          <w:sz w:val="22"/>
          <w:szCs w:val="22"/>
        </w:rPr>
        <w:t xml:space="preserve">De kernregel is eenvoudig: wie 100 VPM Coins heeft verzameld, kan voor 10 euro aankopen doen bij elke aangesloten VPM-partner in Belgie. Dit creert een gedeeld loyaliteitsnetwerk dat de kracht van individuele stempelkaarten overstijgt.</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Waarde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naam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VPM Coin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 symbool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 Mainnet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standaard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ERC-20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Totale supply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250.000.000 VPM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Inwisselgrens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VPM = EUR 10,00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Impliciete tokenwaarde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 0,10 per token</w:t>
            </w:r>
          </w:p>
        </w:tc>
      </w:tr>
    </w:tbl>
    <w:p>
      <w:pPr>
        <w:spacing w:after="120"/>
      </w:pPr>
      <w:r>
        <w:t xml:space="preserve"/>
      </w:r>
    </w:p>
    <w:p>
      <w:pPr>
        <w:pStyle w:val="Heading1"/>
        <w:spacing w:after="160" w:before="480"/>
      </w:pPr>
      <w:r>
        <w:rPr>
          <w:rFonts w:ascii="Arial" w:cs="Arial" w:eastAsia="Arial" w:hAnsi="Arial"/>
          <w:b/>
          <w:bCs/>
          <w:color w:val="0D2244"/>
          <w:sz w:val="36"/>
          <w:szCs w:val="36"/>
        </w:rPr>
        <w:t xml:space="preserve">2. Probleemstelling</w:t>
      </w:r>
    </w:p>
    <w:p>
      <w:pPr>
        <w:pStyle w:val="Heading2"/>
        <w:spacing w:after="120" w:before="320"/>
      </w:pPr>
      <w:r>
        <w:rPr>
          <w:rFonts w:ascii="Arial" w:cs="Arial" w:eastAsia="Arial" w:hAnsi="Arial"/>
          <w:b/>
          <w:bCs/>
          <w:color w:val="0D2244"/>
          <w:sz w:val="28"/>
          <w:szCs w:val="28"/>
        </w:rPr>
        <w:t xml:space="preserve">2.1 Versnipperde loyaliteitssystemen</w:t>
      </w:r>
    </w:p>
    <w:p>
      <w:pPr>
        <w:spacing w:after="120" w:before="80"/>
      </w:pPr>
      <w:r>
        <w:rPr>
          <w:rFonts w:ascii="Arial" w:cs="Arial" w:eastAsia="Arial" w:hAnsi="Arial"/>
          <w:sz w:val="22"/>
          <w:szCs w:val="22"/>
        </w:rPr>
        <w:t xml:space="preserve">De Belgische detailhandel kent een wirwar van loyaliteitsprogrammas: papieren stempelkaarten, proprietary apps, puntenkaarten van supermarktketens en winkeltegoeden. Dit creeert drie fundamentele problemen:</w:t>
      </w:r>
    </w:p>
    <w:p>
      <w:pPr>
        <w:pStyle w:val="ListParagraph"/>
        <w:numPr>
          <w:ilvl w:val="0"/>
          <w:numId w:val="2"/>
        </w:numPr>
        <w:spacing w:after="80"/>
      </w:pPr>
      <w:r>
        <w:rPr>
          <w:rFonts w:ascii="Arial" w:cs="Arial" w:eastAsia="Arial" w:hAnsi="Arial"/>
          <w:sz w:val="22"/>
          <w:szCs w:val="22"/>
        </w:rPr>
        <w:t xml:space="preserve">Klantenfragmentatie: consumenten beheren tientallen afzonderlijke loyaliteitsprogrammas</w:t>
      </w:r>
    </w:p>
    <w:p>
      <w:pPr>
        <w:pStyle w:val="ListParagraph"/>
        <w:numPr>
          <w:ilvl w:val="0"/>
          <w:numId w:val="2"/>
        </w:numPr>
        <w:spacing w:after="80"/>
      </w:pPr>
      <w:r>
        <w:rPr>
          <w:rFonts w:ascii="Arial" w:cs="Arial" w:eastAsia="Arial" w:hAnsi="Arial"/>
          <w:sz w:val="22"/>
          <w:szCs w:val="22"/>
        </w:rPr>
        <w:t xml:space="preserve">Handelaarslast: KMO's missen de middelen voor eigen digitale loyaliteitsinfrastructuur</w:t>
      </w:r>
    </w:p>
    <w:p>
      <w:pPr>
        <w:pStyle w:val="ListParagraph"/>
        <w:numPr>
          <w:ilvl w:val="0"/>
          <w:numId w:val="2"/>
        </w:numPr>
        <w:spacing w:after="80"/>
      </w:pPr>
      <w:r>
        <w:rPr>
          <w:rFonts w:ascii="Arial" w:cs="Arial" w:eastAsia="Arial" w:hAnsi="Arial"/>
          <w:sz w:val="22"/>
          <w:szCs w:val="22"/>
        </w:rPr>
        <w:t xml:space="preserve">Waardeverlies: ongebruikte punten en vervallen kaarten vertegenwoordigen jaarlijks miljoenen euros</w:t>
      </w:r>
    </w:p>
    <w:p>
      <w:pPr>
        <w:spacing w:after="120"/>
      </w:pPr>
      <w:r>
        <w:t xml:space="preserve"/>
      </w:r>
    </w:p>
    <w:p>
      <w:pPr>
        <w:pStyle w:val="Heading2"/>
        <w:spacing w:after="120" w:before="320"/>
      </w:pPr>
      <w:r>
        <w:rPr>
          <w:rFonts w:ascii="Arial" w:cs="Arial" w:eastAsia="Arial" w:hAnsi="Arial"/>
          <w:b/>
          <w:bCs/>
          <w:color w:val="0D2244"/>
          <w:sz w:val="28"/>
          <w:szCs w:val="28"/>
        </w:rPr>
        <w:t xml:space="preserve">2.2 Gebrek aan interoperabiliteit</w:t>
      </w:r>
    </w:p>
    <w:p>
      <w:pPr>
        <w:spacing w:after="120" w:before="80"/>
      </w:pPr>
      <w:r>
        <w:rPr>
          <w:rFonts w:ascii="Arial" w:cs="Arial" w:eastAsia="Arial" w:hAnsi="Arial"/>
          <w:sz w:val="22"/>
          <w:szCs w:val="22"/>
        </w:rPr>
        <w:t xml:space="preserve">Geen enkel bestaand Belgisch loyaliteitsprogramma is interoperabel. Een klant die trouw is aan een bakker, slager en boekhandel, moet drie aparte systemen bijhouden. VPM Coin lost dit op door een gedeeld, neutraal tokenplatform te bieden.</w:t>
      </w:r>
    </w:p>
    <w:p>
      <w:pPr>
        <w:spacing w:after="120"/>
      </w:pPr>
      <w:r>
        <w:t xml:space="preserve"/>
      </w:r>
    </w:p>
    <w:p>
      <w:pPr>
        <w:pStyle w:val="Heading1"/>
        <w:spacing w:after="160" w:before="480"/>
      </w:pPr>
      <w:r>
        <w:rPr>
          <w:rFonts w:ascii="Arial" w:cs="Arial" w:eastAsia="Arial" w:hAnsi="Arial"/>
          <w:b/>
          <w:bCs/>
          <w:color w:val="0D2244"/>
          <w:sz w:val="36"/>
          <w:szCs w:val="36"/>
        </w:rPr>
        <w:t xml:space="preserve">3. De VPM Coin Oplossing</w:t>
      </w:r>
    </w:p>
    <w:p>
      <w:pPr>
        <w:pStyle w:val="Heading2"/>
        <w:spacing w:after="120" w:before="320"/>
      </w:pPr>
      <w:r>
        <w:rPr>
          <w:rFonts w:ascii="Arial" w:cs="Arial" w:eastAsia="Arial" w:hAnsi="Arial"/>
          <w:b/>
          <w:bCs/>
          <w:color w:val="0D2244"/>
          <w:sz w:val="28"/>
          <w:szCs w:val="28"/>
        </w:rPr>
        <w:t xml:space="preserve">3.1 Architectuur</w:t>
      </w:r>
    </w:p>
    <w:p>
      <w:pPr>
        <w:spacing w:after="120" w:before="80"/>
      </w:pPr>
      <w:r>
        <w:rPr>
          <w:rFonts w:ascii="Arial" w:cs="Arial" w:eastAsia="Arial" w:hAnsi="Arial"/>
          <w:sz w:val="22"/>
          <w:szCs w:val="22"/>
        </w:rPr>
        <w:t xml:space="preserve">VPM Coin is een permissioned ERC-20 token met een uitgebreid loyaliteitslaag. De smart contract architectuur omvat:</w:t>
      </w:r>
    </w:p>
    <w:p>
      <w:pPr>
        <w:pStyle w:val="ListParagraph"/>
        <w:numPr>
          <w:ilvl w:val="0"/>
          <w:numId w:val="2"/>
        </w:numPr>
        <w:spacing w:after="80"/>
      </w:pPr>
      <w:r>
        <w:rPr>
          <w:rFonts w:ascii="Arial" w:cs="Arial" w:eastAsia="Arial" w:hAnsi="Arial"/>
          <w:sz w:val="22"/>
          <w:szCs w:val="22"/>
        </w:rPr>
        <w:t xml:space="preserve">Merkant-registry: alleen geverifieerde handelaars kunnen tokens uitgeven</w:t>
      </w:r>
    </w:p>
    <w:p>
      <w:pPr>
        <w:pStyle w:val="ListParagraph"/>
        <w:numPr>
          <w:ilvl w:val="0"/>
          <w:numId w:val="2"/>
        </w:numPr>
        <w:spacing w:after="80"/>
      </w:pPr>
      <w:r>
        <w:rPr>
          <w:rFonts w:ascii="Arial" w:cs="Arial" w:eastAsia="Arial" w:hAnsi="Arial"/>
          <w:sz w:val="22"/>
          <w:szCs w:val="22"/>
        </w:rPr>
        <w:t xml:space="preserve">Loyalty issuance: handelaars sturen VPM tokens naar klanten na een aankoop</w:t>
      </w:r>
    </w:p>
    <w:p>
      <w:pPr>
        <w:pStyle w:val="ListParagraph"/>
        <w:numPr>
          <w:ilvl w:val="0"/>
          <w:numId w:val="2"/>
        </w:numPr>
        <w:spacing w:after="80"/>
      </w:pPr>
      <w:r>
        <w:rPr>
          <w:rFonts w:ascii="Arial" w:cs="Arial" w:eastAsia="Arial" w:hAnsi="Arial"/>
          <w:sz w:val="22"/>
          <w:szCs w:val="22"/>
        </w:rPr>
        <w:t xml:space="preserve">Redemption mechanisme: klanten wisselen 100 VPM in voor EUR 10 korting</w:t>
      </w:r>
    </w:p>
    <w:p>
      <w:pPr>
        <w:pStyle w:val="ListParagraph"/>
        <w:numPr>
          <w:ilvl w:val="0"/>
          <w:numId w:val="2"/>
        </w:numPr>
        <w:spacing w:after="80"/>
      </w:pPr>
      <w:r>
        <w:rPr>
          <w:rFonts w:ascii="Arial" w:cs="Arial" w:eastAsia="Arial" w:hAnsi="Arial"/>
          <w:sz w:val="22"/>
          <w:szCs w:val="22"/>
        </w:rPr>
        <w:t xml:space="preserve">On-chain audittrail: alle transacties zijn transparant en onveranderlijk</w:t>
      </w:r>
    </w:p>
    <w:p>
      <w:pPr>
        <w:spacing w:after="120"/>
      </w:pPr>
      <w:r>
        <w:t xml:space="preserve"/>
      </w:r>
    </w:p>
    <w:p>
      <w:pPr>
        <w:pStyle w:val="Heading2"/>
        <w:spacing w:after="120" w:before="320"/>
      </w:pPr>
      <w:r>
        <w:rPr>
          <w:rFonts w:ascii="Arial" w:cs="Arial" w:eastAsia="Arial" w:hAnsi="Arial"/>
          <w:b/>
          <w:bCs/>
          <w:color w:val="0D2244"/>
          <w:sz w:val="28"/>
          <w:szCs w:val="28"/>
        </w:rPr>
        <w:t xml:space="preserve">3.2 Token Flow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2960"/>
      </w:tblGrid>
      <w:tr>
        <w:tc>
          <w:tcPr>
            <w:tcW w:type="dxa" w:w="8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Stap</w:t>
            </w:r>
          </w:p>
        </w:tc>
        <w:tc>
          <w:tcPr>
            <w:tcW w:type="dxa" w:w="22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296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 (Foundation)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Distribueert tokens aan handelaars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Handelaar ontvangt VPM 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Handelaar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Geeft tokens aan klant na aankoop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ontvangt VPM in wallet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Verzamelt tokens over meerdere aankopen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groeit richting 100 VPM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Roept redeemTokens() aan bij handelaar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VPM worden afgetrokken, klant krijgt EUR 10 korting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Handelaar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Ontvangt 100 VPM terug in 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circuleren opnieuw in het netwerk</w:t>
            </w:r>
          </w:p>
        </w:tc>
      </w:tr>
    </w:tbl>
    <w:p>
      <w:pPr>
        <w:spacing w:after="120"/>
      </w:pPr>
      <w:r>
        <w:t xml:space="preserve"/>
      </w:r>
    </w:p>
    <w:p>
      <w:r>
        <w:br w:type="page"/>
      </w:r>
    </w:p>
    <w:p>
      <w:pPr>
        <w:pStyle w:val="Heading1"/>
        <w:spacing w:after="160" w:before="480"/>
      </w:pPr>
      <w:r>
        <w:rPr>
          <w:rFonts w:ascii="Arial" w:cs="Arial" w:eastAsia="Arial" w:hAnsi="Arial"/>
          <w:b/>
          <w:bCs/>
          <w:color w:val="0D2244"/>
          <w:sz w:val="36"/>
          <w:szCs w:val="36"/>
        </w:rPr>
        <w:t xml:space="preserve">4. Tokenomics</w:t>
      </w:r>
    </w:p>
    <w:p>
      <w:pPr>
        <w:pStyle w:val="Heading2"/>
        <w:spacing w:after="120" w:before="320"/>
      </w:pPr>
      <w:r>
        <w:rPr>
          <w:rFonts w:ascii="Arial" w:cs="Arial" w:eastAsia="Arial" w:hAnsi="Arial"/>
          <w:b/>
          <w:bCs/>
          <w:color w:val="0D2244"/>
          <w:sz w:val="28"/>
          <w:szCs w:val="28"/>
        </w:rPr>
        <w:t xml:space="preserve">4.1 Totale Supply</w:t>
      </w:r>
    </w:p>
    <w:p>
      <w:pPr>
        <w:spacing w:after="120" w:before="80"/>
      </w:pPr>
      <w:r>
        <w:rPr>
          <w:rFonts w:ascii="Arial" w:cs="Arial" w:eastAsia="Arial" w:hAnsi="Arial"/>
          <w:sz w:val="22"/>
          <w:szCs w:val="22"/>
        </w:rPr>
        <w:t xml:space="preserve">De totale supply bedraagt 250.000.000 VPM tokens, vast vastgelegd in het smart contract. Er is geen mintfunctie na de initialisatie; de supply is deflatoir door redemptie-cycli die tokens terugsturen naar handelsreserves.</w:t>
      </w:r>
    </w:p>
    <w:p>
      <w:pPr>
        <w:spacing w:after="120"/>
      </w:pPr>
      <w:r>
        <w:t xml:space="preserve"/>
      </w:r>
    </w:p>
    <w:p>
      <w:pPr>
        <w:pStyle w:val="Heading2"/>
        <w:spacing w:after="120" w:before="320"/>
      </w:pPr>
      <w:r>
        <w:rPr>
          <w:rFonts w:ascii="Arial" w:cs="Arial" w:eastAsia="Arial" w:hAnsi="Arial"/>
          <w:b/>
          <w:bCs/>
          <w:color w:val="0D2244"/>
          <w:sz w:val="28"/>
          <w:szCs w:val="28"/>
        </w:rPr>
        <w:t xml:space="preserve">4.2 Distributieverdeling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460"/>
      </w:tblGrid>
      <w:tr>
        <w:tc>
          <w:tcPr>
            <w:tcW w:type="dxa" w:w="3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2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Tokens (VPM)</w:t>
            </w:r>
          </w:p>
        </w:tc>
        <w:tc>
          <w:tcPr>
            <w:tcW w:type="dxa" w:w="15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246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Doel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Handelaarsreserve (jaar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125.000.000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Initieel uitgifte aan partner-handelaars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Groei &amp; uitbreiding (jaar 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Nieuwe handelaars en regio-uitbreiding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&amp; 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Ontwikkeling, marketing, juridisch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&amp; promotie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onboarding campagnes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 &amp; noodfonds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Liquiditeitsback-up</w:t>
            </w:r>
          </w:p>
        </w:tc>
      </w:tr>
    </w:tbl>
    <w:p>
      <w:pPr>
        <w:spacing w:after="120"/>
      </w:pPr>
      <w:r>
        <w:t xml:space="preserve"/>
      </w:r>
    </w:p>
    <w:p>
      <w:pPr>
        <w:pStyle w:val="Heading2"/>
        <w:spacing w:after="120" w:before="320"/>
      </w:pPr>
      <w:r>
        <w:rPr>
          <w:rFonts w:ascii="Arial" w:cs="Arial" w:eastAsia="Arial" w:hAnsi="Arial"/>
          <w:b/>
          <w:bCs/>
          <w:color w:val="0D2244"/>
          <w:sz w:val="28"/>
          <w:szCs w:val="28"/>
        </w:rPr>
        <w:t xml:space="preserve">4.3 Token Waarde &amp; Stabiliteit</w:t>
      </w:r>
    </w:p>
    <w:p>
      <w:pPr>
        <w:spacing w:after="120" w:before="80"/>
      </w:pPr>
      <w:r>
        <w:rPr>
          <w:rFonts w:ascii="Arial" w:cs="Arial" w:eastAsia="Arial" w:hAnsi="Arial"/>
          <w:sz w:val="22"/>
          <w:szCs w:val="22"/>
        </w:rPr>
        <w:t xml:space="preserve">De token heeft een vaste functionele waarde: 100 VPM = EUR 10. Dit geeft elke token een impliciete waarde van EUR 0,10 voor redemptiedoeleinden. De marktprijs op exchanges kan afwijken, maar de utility-waarde binnen het netwerk is contractueel vastgelegd.</w:t>
      </w:r>
    </w:p>
    <w:p>
      <w:pPr>
        <w:spacing w:after="120"/>
      </w:pPr>
      <w:r>
        <w:t xml:space="preserve"/>
      </w:r>
    </w:p>
    <w:p>
      <w:pPr>
        <w:pStyle w:val="Heading1"/>
        <w:spacing w:after="160" w:before="480"/>
      </w:pPr>
      <w:r>
        <w:rPr>
          <w:rFonts w:ascii="Arial" w:cs="Arial" w:eastAsia="Arial" w:hAnsi="Arial"/>
          <w:b/>
          <w:bCs/>
          <w:color w:val="0D2244"/>
          <w:sz w:val="36"/>
          <w:szCs w:val="36"/>
        </w:rPr>
        <w:t xml:space="preserve">5. Technische Specificaties</w:t>
      </w:r>
    </w:p>
    <w:p>
      <w:pPr>
        <w:pStyle w:val="Heading2"/>
        <w:spacing w:after="120" w:before="320"/>
      </w:pPr>
      <w:r>
        <w:rPr>
          <w:rFonts w:ascii="Arial" w:cs="Arial" w:eastAsia="Arial" w:hAnsi="Arial"/>
          <w:b/>
          <w:bCs/>
          <w:color w:val="0D2244"/>
          <w:sz w:val="28"/>
          <w:szCs w:val="28"/>
        </w:rPr>
        <w:t xml:space="preserve">5.1 Smart Contract Functies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60"/>
      </w:tblGrid>
      <w:tr>
        <w:tc>
          <w:tcPr>
            <w:tcW w:type="dxa" w:w="28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Functie</w:t>
            </w:r>
          </w:p>
        </w:tc>
        <w:tc>
          <w:tcPr>
            <w:tcW w:type="dxa" w:w="18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Toegang</w:t>
            </w:r>
          </w:p>
        </w:tc>
        <w:tc>
          <w:tcPr>
            <w:tcW w:type="dxa" w:w="436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registerMerchant()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Registreert een nieuwe handelaar in het netwerk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removeMerchant()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Verwijdert een handelaar uit het netwerk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issueLoyaltyTokens()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Handelaar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Geeft VPM tokens aan klant na aankoop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redeemTokens()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Wisselt 100 VPM in voor EUR 10 korting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distributeMerchantAllocation()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Eigenaar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Verdeelt tokens vanuit hoofdreserve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availableRedemptions()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Hoeveel keer een klant kan inwisselen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tokensUntilNextRedemption()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nog nodig tot volgende reward</w:t>
            </w:r>
          </w:p>
        </w:tc>
      </w:tr>
    </w:tbl>
    <w:p>
      <w:pPr>
        <w:spacing w:after="120"/>
      </w:pPr>
      <w:r>
        <w:t xml:space="preserve"/>
      </w:r>
    </w:p>
    <w:p>
      <w:pPr>
        <w:pStyle w:val="Heading2"/>
        <w:spacing w:after="120" w:before="320"/>
      </w:pPr>
      <w:r>
        <w:rPr>
          <w:rFonts w:ascii="Arial" w:cs="Arial" w:eastAsia="Arial" w:hAnsi="Arial"/>
          <w:b/>
          <w:bCs/>
          <w:color w:val="0D2244"/>
          <w:sz w:val="28"/>
          <w:szCs w:val="28"/>
        </w:rPr>
        <w:t xml:space="preserve">5.2 Beveiligingsmaatregelen</w:t>
      </w:r>
    </w:p>
    <w:p>
      <w:pPr>
        <w:pStyle w:val="ListParagraph"/>
        <w:numPr>
          <w:ilvl w:val="0"/>
          <w:numId w:val="2"/>
        </w:numPr>
        <w:spacing w:after="80"/>
      </w:pPr>
      <w:r>
        <w:rPr>
          <w:rFonts w:ascii="Arial" w:cs="Arial" w:eastAsia="Arial" w:hAnsi="Arial"/>
          <w:sz w:val="22"/>
          <w:szCs w:val="22"/>
        </w:rPr>
        <w:t xml:space="preserve">Role-based access control: eigenaar en handelaar rollen gescheiden</w:t>
      </w:r>
    </w:p>
    <w:p>
      <w:pPr>
        <w:pStyle w:val="ListParagraph"/>
        <w:numPr>
          <w:ilvl w:val="0"/>
          <w:numId w:val="2"/>
        </w:numPr>
        <w:spacing w:after="80"/>
      </w:pPr>
      <w:r>
        <w:rPr>
          <w:rFonts w:ascii="Arial" w:cs="Arial" w:eastAsia="Arial" w:hAnsi="Arial"/>
          <w:sz w:val="22"/>
          <w:szCs w:val="22"/>
        </w:rPr>
        <w:t xml:space="preserve">Geen mintfunctie na deployment: supply is onveranderlijk</w:t>
      </w:r>
    </w:p>
    <w:p>
      <w:pPr>
        <w:pStyle w:val="ListParagraph"/>
        <w:numPr>
          <w:ilvl w:val="0"/>
          <w:numId w:val="2"/>
        </w:numPr>
        <w:spacing w:after="80"/>
      </w:pPr>
      <w:r>
        <w:rPr>
          <w:rFonts w:ascii="Arial" w:cs="Arial" w:eastAsia="Arial" w:hAnsi="Arial"/>
          <w:sz w:val="22"/>
          <w:szCs w:val="22"/>
        </w:rPr>
        <w:t xml:space="preserve">Reentrancy-veilig: token transfers voor state changes</w:t>
      </w:r>
    </w:p>
    <w:p>
      <w:pPr>
        <w:pStyle w:val="ListParagraph"/>
        <w:numPr>
          <w:ilvl w:val="0"/>
          <w:numId w:val="2"/>
        </w:numPr>
        <w:spacing w:after="80"/>
      </w:pPr>
      <w:r>
        <w:rPr>
          <w:rFonts w:ascii="Arial" w:cs="Arial" w:eastAsia="Arial" w:hAnsi="Arial"/>
          <w:sz w:val="22"/>
          <w:szCs w:val="22"/>
        </w:rPr>
        <w:t xml:space="preserve">Zero-address checks op alle externe parameters</w:t>
      </w:r>
    </w:p>
    <w:p>
      <w:pPr>
        <w:pStyle w:val="ListParagraph"/>
        <w:numPr>
          <w:ilvl w:val="0"/>
          <w:numId w:val="2"/>
        </w:numPr>
        <w:spacing w:after="80"/>
      </w:pPr>
      <w:r>
        <w:rPr>
          <w:rFonts w:ascii="Arial" w:cs="Arial" w:eastAsia="Arial" w:hAnsi="Arial"/>
          <w:sz w:val="22"/>
          <w:szCs w:val="22"/>
        </w:rPr>
        <w:t xml:space="preserve">Aanbeveling: audit door gecertificeerd Solidity security lab voor mainnet deployment</w:t>
      </w:r>
    </w:p>
    <w:p>
      <w:pPr>
        <w:spacing w:after="120"/>
      </w:pPr>
      <w:r>
        <w:t xml:space="preserve"/>
      </w:r>
    </w:p>
    <w:p>
      <w:r>
        <w:br w:type="page"/>
      </w:r>
    </w:p>
    <w:p>
      <w:pPr>
        <w:pStyle w:val="Heading1"/>
        <w:spacing w:after="160" w:before="480"/>
      </w:pPr>
      <w:r>
        <w:rPr>
          <w:rFonts w:ascii="Arial" w:cs="Arial" w:eastAsia="Arial" w:hAnsi="Arial"/>
          <w:b/>
          <w:bCs/>
          <w:color w:val="0D2244"/>
          <w:sz w:val="36"/>
          <w:szCs w:val="36"/>
        </w:rPr>
        <w:t xml:space="preserve">6. Roadmap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160"/>
      </w:tblGrid>
      <w:tr>
        <w:tc>
          <w:tcPr>
            <w:tcW w:type="dxa" w:w="20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516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Mijlpalen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1 — Fundament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contract ontwikkeling, juridische analyse, whitepaper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2 — Piloot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piloothandelaars in Antwerpen &amp; Brussel, wallet integratie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3 — Lancering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 token distributie, publieke wallet app, 100+ handelaars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4 — Groei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Uitbreiding naar alle Belgische provincies, 500+ handelaars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5 — Europees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Uitbreiding naar Nederland, Luxemburg, nord-Frankrijk</w:t>
            </w:r>
          </w:p>
        </w:tc>
      </w:tr>
    </w:tbl>
    <w:p>
      <w:pPr>
        <w:spacing w:after="120"/>
      </w:pPr>
      <w:r>
        <w:t xml:space="preserve"/>
      </w:r>
    </w:p>
    <w:p>
      <w:pPr>
        <w:pStyle w:val="Heading1"/>
        <w:spacing w:after="160" w:before="480"/>
      </w:pPr>
      <w:r>
        <w:rPr>
          <w:rFonts w:ascii="Arial" w:cs="Arial" w:eastAsia="Arial" w:hAnsi="Arial"/>
          <w:b/>
          <w:bCs/>
          <w:color w:val="0D2244"/>
          <w:sz w:val="36"/>
          <w:szCs w:val="36"/>
        </w:rPr>
        <w:t xml:space="preserve">7. Juridische Overwegingen</w:t>
      </w:r>
    </w:p>
    <w:p>
      <w:pPr>
        <w:spacing w:after="120" w:before="80"/>
      </w:pPr>
      <w:r>
        <w:rPr>
          <w:rFonts w:ascii="Arial" w:cs="Arial" w:eastAsia="Arial" w:hAnsi="Arial"/>
          <w:sz w:val="22"/>
          <w:szCs w:val="22"/>
        </w:rPr>
        <w:t xml:space="preserve">VPM Coin is ontworpen als een utility token, niet als een financieel instrument of waardepapier. De token heeft uitsluitend een loyaliteitsfunctie binnen het VPM handelaarsnetwerk.</w:t>
      </w:r>
    </w:p>
    <w:p>
      <w:pPr>
        <w:spacing w:after="120"/>
      </w:pPr>
      <w:r>
        <w:t xml:space="preserve"/>
      </w:r>
    </w:p>
    <w:p>
      <w:pPr>
        <w:pStyle w:val="ListParagraph"/>
        <w:numPr>
          <w:ilvl w:val="0"/>
          <w:numId w:val="2"/>
        </w:numPr>
        <w:spacing w:after="80"/>
      </w:pPr>
      <w:r>
        <w:rPr>
          <w:rFonts w:ascii="Arial" w:cs="Arial" w:eastAsia="Arial" w:hAnsi="Arial"/>
          <w:sz w:val="22"/>
          <w:szCs w:val="22"/>
        </w:rPr>
        <w:t xml:space="preserve">MiCA-conformiteit: classificatie als utility token onder EU Markets in Crypto-Assets regulation</w:t>
      </w:r>
    </w:p>
    <w:p>
      <w:pPr>
        <w:pStyle w:val="ListParagraph"/>
        <w:numPr>
          <w:ilvl w:val="0"/>
          <w:numId w:val="2"/>
        </w:numPr>
        <w:spacing w:after="80"/>
      </w:pPr>
      <w:r>
        <w:rPr>
          <w:rFonts w:ascii="Arial" w:cs="Arial" w:eastAsia="Arial" w:hAnsi="Arial"/>
          <w:sz w:val="22"/>
          <w:szCs w:val="22"/>
        </w:rPr>
        <w:t xml:space="preserve">GDPR: geen persoonlijke gegevens on-chain; walletadressen zijn pseudoniem</w:t>
      </w:r>
    </w:p>
    <w:p>
      <w:pPr>
        <w:pStyle w:val="ListParagraph"/>
        <w:numPr>
          <w:ilvl w:val="0"/>
          <w:numId w:val="2"/>
        </w:numPr>
        <w:spacing w:after="80"/>
      </w:pPr>
      <w:r>
        <w:rPr>
          <w:rFonts w:ascii="Arial" w:cs="Arial" w:eastAsia="Arial" w:hAnsi="Arial"/>
          <w:sz w:val="22"/>
          <w:szCs w:val="22"/>
        </w:rPr>
        <w:t xml:space="preserve">Fiscaal: loyaliteitsvoordelen voor particulieren zijn in Belgie doorgaans belastingvrij tot bepaalde limieten</w:t>
      </w:r>
    </w:p>
    <w:p>
      <w:pPr>
        <w:pStyle w:val="ListParagraph"/>
        <w:numPr>
          <w:ilvl w:val="0"/>
          <w:numId w:val="2"/>
        </w:numPr>
        <w:spacing w:after="80"/>
      </w:pPr>
      <w:r>
        <w:rPr>
          <w:rFonts w:ascii="Arial" w:cs="Arial" w:eastAsia="Arial" w:hAnsi="Arial"/>
          <w:sz w:val="22"/>
          <w:szCs w:val="22"/>
        </w:rPr>
        <w:t xml:space="preserve">Aanbeveling: raadpleeg een Belgisch advocatenkantoor gespecialiseerd in fintech voor finalisatie</w:t>
      </w:r>
    </w:p>
    <w:p>
      <w:pPr>
        <w:spacing w:after="120"/>
      </w:pPr>
      <w:r>
        <w:t xml:space="preserve"/>
      </w:r>
    </w:p>
    <w:p>
      <w:pPr>
        <w:pStyle w:val="Heading1"/>
        <w:spacing w:after="160" w:before="480"/>
      </w:pPr>
      <w:r>
        <w:rPr>
          <w:rFonts w:ascii="Arial" w:cs="Arial" w:eastAsia="Arial" w:hAnsi="Arial"/>
          <w:b/>
          <w:bCs/>
          <w:color w:val="0D2244"/>
          <w:sz w:val="36"/>
          <w:szCs w:val="36"/>
        </w:rPr>
        <w:t xml:space="preserve">8. Risicoanalyse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660"/>
      </w:tblGrid>
      <w:tr>
        <w:tc>
          <w:tcPr>
            <w:tcW w:type="dxa" w:w="28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Risico</w:t>
            </w:r>
          </w:p>
        </w:tc>
        <w:tc>
          <w:tcPr>
            <w:tcW w:type="dxa" w:w="150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Ernst</w:t>
            </w:r>
          </w:p>
        </w:tc>
        <w:tc>
          <w:tcPr>
            <w:tcW w:type="dxa" w:w="4660"/>
            <w:tcBorders>
              <w:top w:val="single" w:color="CCCCCC" w:sz="1"/>
              <w:left w:val="single" w:color="CCCCCC" w:sz="1"/>
              <w:bottom w:val="single" w:color="CCCCCC" w:sz="1"/>
              <w:right w:val="single" w:color="CCCCCC" w:sz="1"/>
            </w:tcBorders>
            <w:shd w:fill="0D2244" w:val="clear"/>
            <w:tcMar>
              <w:top w:type="dxa" w:w="80"/>
              <w:left w:type="dxa" w:w="120"/>
              <w:bottom w:type="dxa" w:w="80"/>
              <w:right w:type="dxa" w:w="120"/>
            </w:tcMar>
          </w:tcPr>
          <w:p>
            <w:r>
              <w:rPr>
                <w:rFonts w:ascii="Arial" w:cs="Arial" w:eastAsia="Arial" w:hAnsi="Arial"/>
                <w:b/>
                <w:bCs/>
                <w:color w:val="FFFFFF"/>
                <w:sz w:val="20"/>
                <w:szCs w:val="20"/>
              </w:rPr>
              <w:t xml:space="preserve">Mitigatie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contract 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Externe security audit voor mainnet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Lage handelaarsadoptie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Gemiddeld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Incentiveprogramma voor early adopters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Regulatoire wijziging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Gemiddeld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Nauwe opvolging MiCA en NBB richtlijnen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 gas fees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Laag-Middel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Layer-2 migratie overwegen (Polygon, Arbitrum)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koersvariatie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Laag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waarde onafhankelijk van marktprijs</w:t>
            </w:r>
          </w:p>
        </w:tc>
      </w:tr>
    </w:tbl>
    <w:p>
      <w:pPr>
        <w:spacing w:after="120"/>
      </w:pPr>
      <w:r>
        <w:t xml:space="preserve"/>
      </w:r>
    </w:p>
    <w:p>
      <w:pPr>
        <w:pStyle w:val="Heading1"/>
        <w:spacing w:after="160" w:before="480"/>
      </w:pPr>
      <w:r>
        <w:rPr>
          <w:rFonts w:ascii="Arial" w:cs="Arial" w:eastAsia="Arial" w:hAnsi="Arial"/>
          <w:b/>
          <w:bCs/>
          <w:color w:val="0D2244"/>
          <w:sz w:val="36"/>
          <w:szCs w:val="36"/>
        </w:rPr>
        <w:t xml:space="preserve">9. Conclusie</w:t>
      </w:r>
    </w:p>
    <w:p>
      <w:pPr>
        <w:spacing w:after="120" w:before="80"/>
      </w:pPr>
      <w:r>
        <w:rPr>
          <w:rFonts w:ascii="Arial" w:cs="Arial" w:eastAsia="Arial" w:hAnsi="Arial"/>
          <w:sz w:val="22"/>
          <w:szCs w:val="22"/>
        </w:rPr>
        <w:t xml:space="preserve">VPM Coin vertegenwoordigt een pragmatische toepassing van blockchain-technologie voor de Belgische lokale economie. Door loyaliteit te tokeniseren op een gedeeld, open netwerk, krijgen zowel kleine handelaars als consumenten toegang tot een modern beloningssysteem zonder proprietary lock-in.</w:t>
      </w:r>
    </w:p>
    <w:p>
      <w:pPr>
        <w:spacing w:after="120"/>
      </w:pPr>
      <w:r>
        <w:t xml:space="preserve"/>
      </w:r>
    </w:p>
    <w:p>
      <w:pPr>
        <w:spacing w:after="120" w:before="80"/>
      </w:pPr>
      <w:r>
        <w:rPr>
          <w:rFonts w:ascii="Arial" w:cs="Arial" w:eastAsia="Arial" w:hAnsi="Arial"/>
          <w:sz w:val="22"/>
          <w:szCs w:val="22"/>
        </w:rPr>
        <w:t xml:space="preserve">Met een totale supply van 250.000.000 tokens, een helder inwisselingsmechanisme en een transparant smart contract, is VPM Coin klaar om het Belgische handelaarslandschap te transformeren.</w:t>
      </w:r>
    </w:p>
    <w:p>
      <w:pPr>
        <w:pBdr>
          <w:bottom w:val="single" w:color="B8860B" w:sz="4" w:space="1"/>
        </w:pBdr>
        <w:spacing w:after="240"/>
      </w:pPr>
      <w:r>
        <w:t xml:space="preserve"/>
      </w:r>
    </w:p>
    <w:p>
      <w:pPr>
        <w:spacing w:after="200" w:before="400"/>
        <w:jc w:val="center"/>
      </w:pPr>
      <w:r>
        <w:rPr>
          <w:rFonts w:ascii="Arial" w:cs="Arial" w:eastAsia="Arial" w:hAnsi="Arial"/>
          <w:b/>
          <w:bCs/>
          <w:color w:val="0D2244"/>
          <w:sz w:val="20"/>
          <w:szCs w:val="20"/>
        </w:rPr>
        <w:t xml:space="preserve">VPM Coin Foundation — Belgie</w:t>
      </w:r>
    </w:p>
    <w:p>
      <w:pPr>
        <w:jc w:val="center"/>
      </w:pPr>
      <w:r>
        <w:rPr>
          <w:rFonts w:ascii="Arial" w:cs="Arial" w:eastAsia="Arial" w:hAnsi="Arial"/>
          <w:color w:val="888888"/>
          <w:sz w:val="18"/>
          <w:szCs w:val="18"/>
        </w:rPr>
        <w:t xml:space="preserve">info@vpmcoin.be  |  www.vpmcoin.be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space="1"/>
      </w:pBdr>
      <w:jc w:val="center"/>
    </w:pPr>
    <w:r>
      <w:rPr>
        <w:rFonts w:ascii="Arial" w:cs="Arial" w:eastAsia="Arial" w:hAnsi="Arial"/>
        <w:color w:val="888888"/>
        <w:sz w:val="18"/>
        <w:szCs w:val="18"/>
      </w:rPr>
      <w:t xml:space="preserve">Vertrouwelijk — VPM Coin Foundation, Belgie 2025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pPr>
    <w:r>
      <w:rPr>
        <w:rFonts w:ascii="Arial" w:cs="Arial" w:eastAsia="Arial" w:hAnsi="Arial"/>
        <w:color w:val="888888"/>
        <w:sz w:val="18"/>
        <w:szCs w:val="18"/>
      </w:rPr>
      <w:t xml:space="preserve">VPM Coin — Virtual Private Money |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224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224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2026-05-02T15:12:06.286Z</dcterms:created>
  <dcterms:modified xsi:type="dcterms:W3CDTF">2026-05-02T15:12:06.288Z</dcterms:modified>
</cp:coreProperties>
</file>

<file path=docProps/custom.xml><?xml version="1.0" encoding="utf-8"?>
<Properties xmlns="http://schemas.openxmlformats.org/officeDocument/2006/custom-properties" xmlns:vt="http://schemas.openxmlformats.org/officeDocument/2006/docPropsVTypes"/>
</file>