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97766" cy="3477449"/>
            <wp:effectExtent b="0" l="0" r="0" t="0"/>
            <wp:docPr id="7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7766" cy="3477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10065"/>
        <w:tblGridChange w:id="0">
          <w:tblGrid>
            <w:gridCol w:w="3397"/>
            <w:gridCol w:w="100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HAZIRLAYAN TAKIM: 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InterFive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TALEP: 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Akıllı Kişisel Finans Danışmanı – Chatbot</w:t>
            </w:r>
          </w:p>
        </w:tc>
      </w:tr>
    </w:tbl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USER STORY</w:t>
            </w:r>
          </w:p>
        </w:tc>
      </w:tr>
      <w:tr>
        <w:trPr>
          <w:cantSplit w:val="0"/>
          <w:trHeight w:val="191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Bir kullanıcı olarak, finansal sorularımı doğal dilde bir sohbet ekranından sorabilmek ve yanıtları akıcı (canlı yazılıyormuş gibi) şekilde görebilmek istiyorum, böylece sistemle doğal ve hızlı bir şekilde etkileşime girebilirim.</w:t>
            </w:r>
          </w:p>
        </w:tc>
      </w:tr>
    </w:tbl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Ana Senaryo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 Kullanıcı chatbot ekranını açar.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2. Sistem, önceki konuşma geçmişini (varsa) ekranda gösterir.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3. Kullanıcı mesaj kutusuna sorusunu yazar ve gönderir.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4. Sistem isteği Orchestrator’a iletir ve "yazıyor..." göstergesini gösterir.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Sistem, yanıtı streaming (parça parça) olarak ekranda göstermeye başlar.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6. Yanıt tamamlandığında sistem mesajı konuşma geçmişine kaydeder.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Alternatif Senaryo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AS-1: Önerilen soru şablonları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 adım aynı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2. Kullanıcı boş ekranda hazır soru önerilerinden (ör. "Portföyümü analiz et", "Bugünkü piyasa haberleri") birine tıklar.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3. Sistem seçilen soruyu otomatik olarak gönderir.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4. Ana senaryo 4. adımdan devam eder.</w:t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AS-2: Önceki konuşmanın açılması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  Kullanıcı chatbot ekranını açar.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2. Sistem önceki konuşmaları gösterir.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3. Kullanıcı bir konuşma geçmişini seçer.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4. Sistem seçilen konuşmayı görüntüler.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5. Kullanıcı yeni bir mesaj gönderir.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6. Sistem ana senaryonun 5. adımından devam eder.</w:t>
            </w:r>
          </w:p>
        </w:tc>
      </w:tr>
      <w:tr>
        <w:trPr>
          <w:cantSplit w:val="0"/>
          <w:trHeight w:val="141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İstisnai Senaryo </w:t>
            </w:r>
            <w:sdt>
              <w:sdtPr>
                <w:id w:val="-30961692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IS-01 — Boş mesaj gönderilmesi: 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4.1: Sistem mesajı Orchestrator'a göndermemelidir ve kullanıcıya “Mesaj boş bırakılamaz.” uyarısını gösterir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İS-02 – Yanıt oluşturulamaması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4.1: Sistem “Yazıyor...” durumunu sonlandırır ve kullanıcıya “Şu anda yanıt oluşturulamıyor. Lütfen tekrar deneyin.” mesajını gösterir.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İS-03: Kapsam dışı soru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6.1: Soru finansal danışmanlık kapsamı dışındaysa sistem kullanıcıyı bilgilendirir ve yanıt üretmez.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İS-04: Bağlantı kopması</w:t>
            </w:r>
          </w:p>
          <w:p w:rsidR="00000000" w:rsidDel="00000000" w:rsidP="00000000" w:rsidRDefault="00000000" w:rsidRPr="00000000" w14:paraId="0000003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5.1: "Streaming yanıt bağlantı kopması nedeniyle kesintiye uğrarsa sistem son tamamlanmış kısmı gösterir ve yeniden deneme seçeneği sunar."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964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64"/>
        <w:tblGridChange w:id="0">
          <w:tblGrid>
            <w:gridCol w:w="13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İŞ KURALLARI</w:t>
            </w:r>
          </w:p>
        </w:tc>
      </w:tr>
      <w:tr>
        <w:trPr>
          <w:cantSplit w:val="0"/>
          <w:trHeight w:val="223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İK-12: Chatbot, konuşma geçmişi kullanıcıya özel olarak saklanır.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İK-13: Kullanıcı </w:t>
            </w:r>
            <w:r w:rsidDel="00000000" w:rsidR="00000000" w:rsidRPr="00000000">
              <w:rPr>
                <w:rtl w:val="0"/>
              </w:rPr>
              <w:t xml:space="preserve">chatbota</w:t>
            </w:r>
            <w:r w:rsidDel="00000000" w:rsidR="00000000" w:rsidRPr="00000000">
              <w:rPr>
                <w:rtl w:val="0"/>
              </w:rPr>
              <w:t xml:space="preserve"> bir mesaj gönderdikten sonra yanıt tamamlanana kadar kullanıcı yeni mesaj gönderemez.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İK-14: </w:t>
            </w:r>
            <w:r w:rsidDel="00000000" w:rsidR="00000000" w:rsidRPr="00000000">
              <w:rPr>
                <w:rtl w:val="0"/>
              </w:rPr>
              <w:t xml:space="preserve">Chatbotun</w:t>
            </w:r>
            <w:r w:rsidDel="00000000" w:rsidR="00000000" w:rsidRPr="00000000">
              <w:rPr>
                <w:rtl w:val="0"/>
              </w:rPr>
              <w:t xml:space="preserve"> streaming yanıtı kesintiye uğrarsa kullanıcı son tamamlanmış kısmı görebilmeli ve yeniden </w:t>
            </w:r>
            <w:r w:rsidDel="00000000" w:rsidR="00000000" w:rsidRPr="00000000">
              <w:rPr>
                <w:rtl w:val="0"/>
              </w:rPr>
              <w:t xml:space="preserve">deneyebilmelidir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İK-15: Chatbot yalnızca finansal danışmanlık kapsamındaki sorulara yanıt üretir; kapsam dışı sorularda kullanıcıyı bilgilendirir.</w:t>
            </w:r>
          </w:p>
        </w:tc>
      </w:tr>
    </w:tbl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FONKSİYONEL OLMAYAN GEREKSİNİMLER (NFR)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Güvenlik (Security)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Chatbot oturumu, kullanıcı kimlik doğrulaması olmadan başlatılamaz.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Gizlilik (Confidentiality)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Konuşma içerikleri yalnızca ilgili kullanıcı hesabıyla ilişkilendirilir.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Performans (Performance)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Streaming yanıtın ilk parçası en fazla 1-2 saniye içinde ekranda görünmeye başlamalıdır.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Ölçeklenebilirlik (Scalability)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Chatbot arayüzü, artan eşzamanlı kullanıcı sayısında performans kaybı yaşamadan çalışabilmelidir.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Kullanılabilirlik (Usability)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Yeni kullanıcı, hiçbir yardım almadan chatbot'u kullanmaya 1 dakika içinde başlayabilmelidir.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Yönetilebilirlik (Maintainability)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Chatbot arayüz bileşenleri (mesaj listesi, giriş kutusu, öneri şablonları) bağımsız olarak güncellenebilmelidir.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Ulaşılabilirlik (Availability)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Chatbot arayüzü masaüstü ve mobil tarayıcılarda sorunsuz çalışmalıdır.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Sürdürülebilirlik (Sustainability)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Streaming bağlantıları kullanılmadığında (ör. sekme kapatıldığında) otomatik sonlandırılarak kaynak israfı önlenmelidir.</w:t>
            </w:r>
          </w:p>
        </w:tc>
      </w:tr>
    </w:tbl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VARSAYIMLAR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1. Kullanıcı, chatbot'u kullanmadan önce sisteme giriş yapmıştır.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2. Orchestrator ve ilgili ajanlar, streaming response formatında yanıt üretebilecek şekilde entegre edilmiştir.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3. MCP Server, chatbot'un dış sistemlere güvenli erişimini sağlayacak şekilde yapılandırılmıştır.</w:t>
            </w:r>
          </w:p>
        </w:tc>
      </w:tr>
    </w:tbl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  <w:tbl>
    <w:tblPr>
      <w:tblStyle w:val="Table8"/>
      <w:tblW w:w="13994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64"/>
      <w:gridCol w:w="4665"/>
      <w:gridCol w:w="4665"/>
      <w:tblGridChange w:id="0">
        <w:tblGrid>
          <w:gridCol w:w="4664"/>
          <w:gridCol w:w="4665"/>
          <w:gridCol w:w="466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88148" cy="216824"/>
                <wp:effectExtent b="0" l="0" r="0" t="0"/>
                <wp:docPr descr="A purple and black logo&#10;&#10;Description automatically generated" id="73" name="image3.png"/>
                <a:graphic>
                  <a:graphicData uri="http://schemas.openxmlformats.org/drawingml/2006/picture">
                    <pic:pic>
                      <pic:nvPicPr>
                        <pic:cNvPr descr="A purple and black logo&#10;&#10;Description automatically generated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8148" cy="2168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--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--</w:t>
          </w:r>
        </w:p>
      </w:tc>
      <w:tc>
        <w:tcPr/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388268" cy="388268"/>
                <wp:effectExtent b="0" l="0" r="0" t="0"/>
                <wp:docPr id="7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268" cy="3882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7"/>
      <w:tblW w:w="13994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3994"/>
      <w:tblGridChange w:id="0">
        <w:tblGrid>
          <w:gridCol w:w="1399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USER STORY  </w:t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23A84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3A84"/>
  </w:style>
  <w:style w:type="paragraph" w:styleId="Footer">
    <w:name w:val="footer"/>
    <w:basedOn w:val="Normal"/>
    <w:link w:val="FooterChar"/>
    <w:uiPriority w:val="99"/>
    <w:unhideWhenUsed w:val="1"/>
    <w:rsid w:val="00423A84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3A84"/>
  </w:style>
  <w:style w:type="table" w:styleId="TableGrid">
    <w:name w:val="Table Grid"/>
    <w:basedOn w:val="TableNormal"/>
    <w:uiPriority w:val="39"/>
    <w:rsid w:val="00423A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1C1335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tr-T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9nntNE+9shhoM6dbyyMiR46Blg==">CgMxLjAaMAoBMBIrCikIB0IlChFRdWF0dHJvY2VudG8gU2FucxIQQXJpYWwgVW5pY29kZSBNUzgAciExOTMxYnpQVWVldnVITjEtY3lqMDdldmtaXzdrclE1dmY=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2025-08-15T13:10:00Z</dcterms:created>
  <dc:creator>Gülçin Danki-Intertech-Master İş Analisti-Intertech_GOVERNANCE</dc:creator>
</cp:coreProperties>
</file>