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97766" cy="3477449"/>
            <wp:effectExtent b="0" l="0" r="0" t="0"/>
            <wp:docPr id="7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7766" cy="3477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7"/>
        <w:gridCol w:w="10065"/>
        <w:tblGridChange w:id="0">
          <w:tblGrid>
            <w:gridCol w:w="3397"/>
            <w:gridCol w:w="100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HAZIRLAYAN TAKIM: 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InterFive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TALEP: 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Akıllı Kişisel Finans Danışmanı – Dashboard</w:t>
            </w:r>
          </w:p>
        </w:tc>
      </w:tr>
    </w:tbl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74"/>
        <w:tblGridChange w:id="0">
          <w:tblGrid>
            <w:gridCol w:w="139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USER STORY</w:t>
            </w:r>
          </w:p>
        </w:tc>
      </w:tr>
      <w:tr>
        <w:trPr>
          <w:cantSplit w:val="0"/>
          <w:trHeight w:val="1914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Bir kullanıcı olarak, dashboard ekranını açık tuttuğumda portföyümdeki ve piyasadaki güncellemelerin sayfayı yenilemeden otomatik olarak yansımasını istiyorum, böylece güncel durumu her zaman anlık olarak takip edebilirim.</w:t>
            </w:r>
          </w:p>
        </w:tc>
      </w:tr>
    </w:tbl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9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74"/>
        <w:tblGridChange w:id="0">
          <w:tblGrid>
            <w:gridCol w:w="139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Ana Senaryo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32"/>
                <w:szCs w:val="32"/>
                <w:rtl w:val="0"/>
              </w:rPr>
              <w:t xml:space="preserve">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1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1. Kullanıcı dashboard ekranını açar.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2. Sistem, mevcut portföy grafiklerini (varlık dağılımı, performans trendi, risk profili) yükler.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3. Sistem, piyasa verisi ve haber akışı için gerçek zamanlı bir bağlantı kurar.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4. Piyasa verisinde veya kullanıcının portföyünde bir değişiklik olduğunda sistem ilgili grafiği otomatik günceller.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5. Güncellenen alan kısa bir görsel vurgu (ör. renk değişimi) ile kullanıcıya belirtilir.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Alternatif Senaryo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32"/>
                <w:szCs w:val="32"/>
                <w:rtl w:val="0"/>
              </w:rPr>
              <w:t xml:space="preserve">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AS-1 "Manuel yenileme":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1–3. adımlar aynı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4. Kullanıcı "Yenile" butonuna tıklar.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5. Sistem tüm dashboard verilerini anında yeniden çeker ve gösterir.</w:t>
            </w:r>
          </w:p>
        </w:tc>
      </w:tr>
      <w:tr>
        <w:trPr>
          <w:cantSplit w:val="0"/>
          <w:trHeight w:val="141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AS-2 "Portföy bulunamaması":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1. Kullanıcı dashboard ekranını açar.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2. Sistem kullanıcının yatırım hesabını kontrol eder.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3. Kullanıcının henüz bir portföyü bulunmadığı tespit edilir.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4. Sistem portföy grafikleri yerine portföy oluşturulmasına/yatırım hesabı açılmasına yönlendiren bilgilendirme gösterir.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5. Sistem mevcut piyasa verilerini ve haber akışını göstermeye devam eder.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6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İstisnai Senaryo </w:t>
            </w:r>
            <w:sdt>
              <w:sdtPr>
                <w:id w:val="110170287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2"/>
                    <w:szCs w:val="32"/>
                    <w:rtl w:val="0"/>
                  </w:rPr>
                  <w:t xml:space="preserve">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İS-01 “Piyasa verisiyle bağlantı kurulamaması”: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1. Kullanıcı dashboard ekranını açar.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2. Sistem piyasa verisi ve haber akışına bağlanmaya çalışır.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3. Sistem veri kaynağına erişemediğini tespit eder.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4. Sistem mevcut portföy verilerini ve daha önce alınmış verileri göstermeye devam eder.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5. Güncel piyasa verilerinin alınamadığı kullanıcıya bildirilir.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6. Sistem kullanıcıya </w:t>
            </w:r>
            <w:r w:rsidDel="00000000" w:rsidR="00000000" w:rsidRPr="00000000">
              <w:rPr>
                <w:rtl w:val="0"/>
              </w:rPr>
              <w:t xml:space="preserve">“Piyasa verileri şu anda güncellenemiyor. Lütfen daha sonra tekrar deneyin.”</w:t>
            </w:r>
            <w:r w:rsidDel="00000000" w:rsidR="00000000" w:rsidRPr="00000000">
              <w:rPr>
                <w:rtl w:val="0"/>
              </w:rPr>
              <w:t xml:space="preserve"> mesajını gösterir.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7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IS-02 “Portföy verisinin yüklenememesi”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1. Kullanıcı dashboard ekranını açar.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2. Sistem portföy verilerini yüklemeye çalışır.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3. Portföy verileri alınamaz.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4. Sistem portföy grafiklerini boş veya hatalı veriyle göstermemelidir.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5. Kullanıcıya portföy verilerinin yüklenemediğini belirten bir uyarı gösterilir.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6. Sistem diğer erişilebilir dashboard bileşenlerini göstermeye devam eder.</w:t>
            </w:r>
          </w:p>
        </w:tc>
      </w:tr>
      <w:tr>
        <w:trPr>
          <w:cantSplit w:val="0"/>
          <w:trHeight w:val="113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964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64"/>
        <w:tblGridChange w:id="0">
          <w:tblGrid>
            <w:gridCol w:w="139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İŞ KURALLARI</w:t>
            </w:r>
          </w:p>
        </w:tc>
      </w:tr>
      <w:tr>
        <w:trPr>
          <w:cantSplit w:val="0"/>
          <w:trHeight w:val="2237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İK-16: Dashboard verileri gerçek zamanlıya yakın bir aralıkla (ör. 5–10 saniye) güncellenmelidir.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İK-17: Kullanıcı başka bir ekrana geçtiğinde veya sekme arka planda kaldığında canlı bağlantı kaynak tasarrufu için askıya alınabilir.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İK-18: Dinamik butonlar ("Portföyü Yeniden Dengele", "Detaylı Rapor Oluştur") yalnızca ilgili veri yüklendikten sonra aktif hale gelir.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İK-19: Dashboard, yalnızca kimliği doğrulanmış kullanıcıya ait verileri gösterir.</w:t>
            </w:r>
          </w:p>
        </w:tc>
      </w:tr>
    </w:tbl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9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74"/>
        <w:tblGridChange w:id="0">
          <w:tblGrid>
            <w:gridCol w:w="139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FONKSİYONEL OLMAYAN GEREKSİNİMLER (NFR)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Güvenlik (Security)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Gerçek zamanlı veri bağlantısı (ör. WebSocket) kimlik doğrulama token'ı ile korunmalıdır.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Gizlilik (Confidentiality)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Dashboard'da gösterilen veriler yalnızca oturum sahibi kullanıcıya aittir.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Performans (Performance)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İlk yükleme en fazla 2 saniyede tamamlanmalı; canlı güncellemeler en fazla 1 saniye gecikmeyle yansıtılmalıdır.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Ölçeklenebilirlik (Scalability)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Sistem, çok sayıda kullanıcının eşzamanlı canlı bağlantısını performans kaybı yaşamadan destekleyebilmelidir.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Kullanılabilirlik (Usability)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Grafikler ve butonlar, teknik bilgi gerektirmeden sezgisel olarak anlaşılabilir olmalıdır.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Yönetilebilirlik (Maintainability)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Dashboard bileşenleri (grafik, buton, canlı veri modülü) birbirinden bağımsız olarak güncellenebilmelidir.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Ulaşılabilirlik (Availability)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Dashboard, masaüstü ve mobil tarayıcılarda duyarlı (responsive) şekilde çalışmalıdır.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Sürdürülebilirlik (Sustainability)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Kullanılmayan/arka plandaki oturumlarda canlı bağlantılar kapatılarak sunucu kaynak kullanımı azaltılmalıdır.</w:t>
            </w:r>
          </w:p>
        </w:tc>
      </w:tr>
    </w:tbl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9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74"/>
        <w:tblGridChange w:id="0">
          <w:tblGrid>
            <w:gridCol w:w="139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VARSAYIMLAR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1. Piyasa verisi ve haber akışı, gerçek zamanlı veya yakın gerçek zamanlı sağlanan bir kaynaktan (dummy veya gerçek API) beslenmektedir.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2. Frontend, WebSocket veya benzeri bir canlı veri protokolünü destekleyecek şekilde geliştirilmiştir.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3. Kullanıcı, dashboard'a erişmeden önce sisteme giriş yapmıştır.</w:t>
            </w:r>
          </w:p>
        </w:tc>
      </w:tr>
    </w:tbl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</w:p>
  <w:tbl>
    <w:tblPr>
      <w:tblStyle w:val="Table8"/>
      <w:tblW w:w="13994.0" w:type="dxa"/>
      <w:jc w:val="left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64"/>
      <w:gridCol w:w="4665"/>
      <w:gridCol w:w="4665"/>
      <w:tblGridChange w:id="0">
        <w:tblGrid>
          <w:gridCol w:w="4664"/>
          <w:gridCol w:w="4665"/>
          <w:gridCol w:w="466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988148" cy="216824"/>
                <wp:effectExtent b="0" l="0" r="0" t="0"/>
                <wp:docPr descr="A purple and black logo&#10;&#10;Description automatically generated" id="73" name="image2.png"/>
                <a:graphic>
                  <a:graphicData uri="http://schemas.openxmlformats.org/drawingml/2006/picture">
                    <pic:pic>
                      <pic:nvPicPr>
                        <pic:cNvPr descr="A purple and black logo&#10;&#10;Description automatically generated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8148" cy="2168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--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--</w:t>
          </w:r>
        </w:p>
      </w:tc>
      <w:tc>
        <w:tcPr/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388268" cy="388268"/>
                <wp:effectExtent b="0" l="0" r="0" t="0"/>
                <wp:docPr id="7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8268" cy="38826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7"/>
      <w:tblW w:w="13994.0" w:type="dxa"/>
      <w:jc w:val="left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3994"/>
      <w:tblGridChange w:id="0">
        <w:tblGrid>
          <w:gridCol w:w="13994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USER STORY  </w:t>
          </w:r>
        </w:p>
      </w:tc>
    </w:tr>
  </w:tbl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423A84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3A84"/>
  </w:style>
  <w:style w:type="paragraph" w:styleId="Footer">
    <w:name w:val="footer"/>
    <w:basedOn w:val="Normal"/>
    <w:link w:val="FooterChar"/>
    <w:uiPriority w:val="99"/>
    <w:unhideWhenUsed w:val="1"/>
    <w:rsid w:val="00423A84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3A84"/>
  </w:style>
  <w:style w:type="table" w:styleId="TableGrid">
    <w:name w:val="Table Grid"/>
    <w:basedOn w:val="TableNormal"/>
    <w:uiPriority w:val="39"/>
    <w:rsid w:val="00423A8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1C1335"/>
    <w:pPr>
      <w:spacing w:after="0" w:line="240" w:lineRule="auto"/>
      <w:ind w:left="720"/>
      <w:contextualSpacing w:val="1"/>
    </w:pPr>
    <w:rPr>
      <w:rFonts w:ascii="Times New Roman" w:cs="Times New Roman" w:eastAsia="Times New Roman" w:hAnsi="Times New Roman"/>
      <w:sz w:val="24"/>
      <w:szCs w:val="24"/>
      <w:lang w:eastAsia="tr-T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0NlLnOfwApelVV2k5O+4OWlTLg==">CgMxLjAaMAoBMBIrCikIB0IlChFRdWF0dHJvY2VudG8gU2FucxIQQXJpYWwgVW5pY29kZSBNUzgAciExVF9jQmppT2xWcUl3Tk5KRGd0MmRuUTE2UTdpOThFWEE=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2025-08-15T13:10:00Z</dcterms:created>
  <dc:creator>Gülçin Danki-Intertech-Master İş Analisti-Intertech_GOVERNANCE</dc:creator>
</cp:coreProperties>
</file>