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ca6e15f8944540" /></Relationships>
</file>

<file path=word/document.xml><?xml version="1.0" encoding="utf-8"?>
<w:document xmlns:w="http://schemas.openxmlformats.org/wordprocessingml/2006/main">
  <w:body>
    <w:footerReference xmlns:r="http://schemas.openxmlformats.org/officeDocument/2006/relationships" r:id="R38e8a05430054888"/>
    <w:headerReference xmlns:r="http://schemas.openxmlformats.org/officeDocument/2006/relationships" r:id="R9f0221a987064b24"/>
    <w:p>
      <w:pPr>
        <w:pStyle w:val="Title"/>
        <w:jc w:val="center"/>
      </w:pPr>
      <w:r>
        <w:t xml:space="preserve">Bill-of-Lading</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Bill-of-Lading</w:t>
            </w:r>
          </w:p>
          <w:tcPr>
            <w:tcW w:w="70" w:type="pct"/>
          </w:tcPr>
        </w:tc>
      </w:tr>
      <w:tr>
        <w:tc>
          <w:p>
            <w:r>
              <w:t>Id:</w:t>
            </w:r>
          </w:p>
          <w:tcPr>
            <w:tcW w:w="30" w:type="pct"/>
          </w:tcPr>
        </w:tc>
        <w:tc>
          <w:p>
            <w:r>
              <w:t>699d5369-e215-40f6-8eaf-a537bd260f1a</w:t>
            </w:r>
          </w:p>
          <w:tcPr>
            <w:tcW w:w="70" w:type="pct"/>
          </w:tcPr>
        </w:tc>
      </w:tr>
      <w:tr>
        <w:tc>
          <w:p>
            <w:r>
              <w:t>Visual:</w:t>
            </w:r>
          </w:p>
          <w:tcPr>
            <w:tcW w:w="30" w:type="pct"/>
          </w:tcPr>
        </w:tc>
        <w:tc>
          <w:p>
            <w:r>
              <w:t>[&amp;tau;&lt;sub&gt;N&lt;/sub&gt;{&lt;i&gt;~d,t,c,SC&lt;/i&gt;}+&amp;phi;File]</w:t>
            </w:r>
          </w:p>
          <w:tcPr>
            <w:tcW w:w="70" w:type="pct"/>
          </w:tcPr>
        </w:tc>
      </w:tr>
      <w:tr>
        <w:tc>
          <w:p>
            <w:r>
              <w:t>Tooling:</w:t>
            </w:r>
          </w:p>
          <w:tcPr>
            <w:tcW w:w="30" w:type="pct"/>
          </w:tcPr>
        </w:tc>
        <w:tc>
          <w:p>
            <w:r>
              <w:t>[tN{~d,t,c,SC}+phFile]</w:t>
            </w:r>
          </w:p>
          <w:tcPr>
            <w:tcW w:w="70" w:type="pct"/>
          </w:tcPr>
        </w:tc>
      </w:tr>
      <w:tr>
        <w:tc>
          <w:p>
            <w:r>
              <w:t>Version:</w:t>
            </w:r>
          </w:p>
          <w:tcPr>
            <w:tcW w:w="30" w:type="pct"/>
          </w:tcPr>
        </w:tc>
        <w:tc>
          <w:p>
            <w:r>
              <w:t>1.0</w:t>
            </w:r>
          </w:p>
          <w:tcPr>
            <w:tcW w:w="70" w:type="pct"/>
          </w:tcPr>
        </w:tc>
      </w:tr>
    </w:tbl>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Alex Bausch</w:t>
                </w:r>
              </w:p>
            </w:tc>
            <w:tc>
              <w:p>
                <w:r>
                  <w:t>2Tokens</w:t>
                </w:r>
              </w:p>
            </w:tc>
          </w:tr>
          <w:tr>
            <w:tc>
              <w:p>
                <w:r>
                  <w:t>Aljosja Beije</w:t>
                </w:r>
              </w:p>
            </w:tc>
            <w:tc>
              <w:p>
                <w:r>
                  <w:t>BlockLab</w:t>
                </w:r>
              </w:p>
            </w:tc>
          </w:tr>
        </w:tbl>
      </w:r>
    </w:p>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It is Whole by setting the Decimals property on the dividable behavior = 0. A token instance can be burned.</w:t>
      </w:r>
    </w:p>
    <w:p>
      <w:pPr>
        <w:pStyle w:val="Heading2"/>
        <w:jc w:val="left"/>
      </w:pPr>
      <w:r>
        <w:t>Example</w:t>
      </w:r>
    </w:p>
    <w:p>
      <w:pPr>
        <w:pStyle w:val="Normal"/>
        <w:jc w:val="left"/>
      </w:pPr>
      <w:r>
        <w:t>Non-divisible, transferable bills of lading for shipping with supply controls (minting, burning, and roles).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Bill-of-Lading</w:t>
                </w:r>
              </w:p>
            </w:tc>
            <w:tc>
              <w:p>
                <w:r>
                  <w:t>Non-divisible, transferable bills of lading for shipping with supply controls (minting, burning, and roles).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Bill-of-Lading.proto</w:t>
                </w:r>
              </w:p>
            </w:tc>
            <w:tc>
              <w:p>
                <w:r>
                  <w:t/>
                </w:r>
              </w:p>
            </w:tc>
          </w:tr>
          <w:tr>
            <w:tc>
              <w:p>
                <w:r>
                  <w:t>Uml</w:t>
                </w:r>
              </w:p>
            </w:tc>
            <w:tc>
              <w:p>
                <w:r>
                  <w:t>Bill-of-Lading.md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[tN{~d,t,c,SC}+phFile]</w:t>
      </w:r>
    </w:p>
    <w:p>
      <w:pPr>
        <w:pStyle w:val="Normal"/>
        <w:jc w:val="left"/>
      </w:pPr>
      <w:r>
        <w:t xml:space="preserve">Name: [tN{~d,t,c,SC}+phFile]</w:t>
      </w:r>
    </w:p>
    <w:p>
      <w:pPr>
        <w:pStyle w:val="Normal"/>
        <w:jc w:val="left"/>
      </w:pPr>
      <w:r>
        <w:t>Id: 9bdc9483-b679-4d2e-aa61-108edceec303</w:t>
      </w:r>
    </w:p>
    <w:p>
      <w:pPr>
        <w:pStyle w:val="Normal"/>
        <w:jc w:val="left"/>
      </w:pPr>
      <w:r>
        <w:t>Reference Notes: Bill-of-Lading</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100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Indivisible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Normal"/>
        <w:jc w:val="center"/>
      </w:pPr>
      <w:r>
        <w:t/>
      </w:r>
    </w:p>
    <w:p>
      <w:pPr>
        <w:pStyle w:val="Heading2"/>
        <w:jc w:val="left"/>
      </w:pPr>
      <w:r>
        <w:t>Behavior Reference: Compliant</w:t>
      </w:r>
    </w:p>
    <w:p>
      <w:pPr>
        <w:pStyle w:val="Quote"/>
        <w:jc w:val="left"/>
      </w:pPr>
      <w:r>
        <w:t>Reference Notes: Compliant</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Influence Bindings</w:t>
      </w:r>
    </w:p>
    <w:p>
      <w:pPr>
        <w:pStyle w:val="Normal"/>
        <w:jc w:val="left"/>
      </w:pPr>
      <w:r>
        <w:t>Influenced Id: af119e58-6d84-4ca6-9656-75e8d312f038</w:t>
      </w:r>
    </w:p>
    <w:p>
      <w:pPr>
        <w:pStyle w:val="Normal"/>
        <w:jc w:val="left"/>
      </w:pPr>
      <w:r>
        <w:t>Influenced Name: Transferable</w:t>
      </w:r>
    </w:p>
    <w:p>
      <w:pPr>
        <w:pStyle w:val="Normal"/>
        <w:jc w:val="left"/>
      </w:pPr>
      <w:r>
        <w:t>Influenced Invocation Id: 5d4b8f10-7857-4a2f-9b8c-d61e367a6bcc</w:t>
      </w:r>
    </w:p>
    <w:p>
      <w:pPr>
        <w:pStyle w:val="Normal"/>
        <w:jc w:val="left"/>
      </w:pPr>
      <w:r>
        <w:t>Influence Type: Intercept</w:t>
      </w:r>
    </w:p>
    <w:p>
      <w:pPr>
        <w:pStyle w:val="Subtitle"/>
        <w:jc w:val="center"/>
      </w:pPr>
      <w:r>
        <w:t>Influencing Invocation: </w:t>
      </w:r>
    </w:p>
    <w:p>
      <w:pPr>
        <w:pStyle w:val="Heading3"/>
        <w:jc w:val="left"/>
      </w:pPr>
      <w:r>
        <w:t>CheckTransferAllowed</w:t>
      </w:r>
    </w:p>
    <w:p>
      <w:pPr>
        <w:pStyle w:val="Normal"/>
        <w:jc w:val="left"/>
      </w:pPr>
      <w:r>
        <w:t>Id: 3f591127-0508-445b-b449-4adc3d8d90e9</w:t>
      </w:r>
    </w:p>
    <w:p>
      <w:pPr>
        <w:pStyle w:val="Quote"/>
        <w:jc w:val="left"/>
      </w:pPr>
      <w:r>
        <w:t>Check to see if the account has been whitelisted and KYC'd, by the custodian.</w:t>
      </w:r>
    </w:p>
    <w:p>
      <w:pPr>
        <w:pStyle w:val="Heading4"/>
        <w:jc w:val="left"/>
      </w:pPr>
      <w:r>
        <w:t>Request</w:t>
      </w:r>
    </w:p>
    <w:p>
      <w:pPr>
        <w:pStyle w:val="Normal"/>
        <w:jc w:val="left"/>
      </w:pPr>
      <w:r>
        <w:t>Control Message: CheckTransferAllowedRequest</w:t>
      </w:r>
    </w:p>
    <w:p>
      <w:pPr>
        <w:pStyle w:val="Normal"/>
        <w:jc w:val="left"/>
      </w:pPr>
      <w:r>
        <w:t>Description: Checking the whitelist.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4"/>
        <w:jc w:val="left"/>
      </w:pPr>
      <w:r>
        <w:t>Response</w:t>
      </w:r>
    </w:p>
    <w:p>
      <w:pPr>
        <w:pStyle w:val="Normal"/>
        <w:jc w:val="left"/>
      </w:pPr>
      <w:r>
        <w:t>Control Message: CheckTransferAllowedResponse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Subtitle"/>
        <w:jc w:val="center"/>
      </w:pPr>
      <w:r>
        <w:t>Influenced Invocation: </w:t>
      </w:r>
    </w:p>
    <w:p>
      <w:pPr>
        <w:pStyle w:val="Heading3"/>
        <w:jc w:val="left"/>
      </w:pPr>
      <w:r>
        <w:t>Transfer</w:t>
      </w:r>
    </w:p>
    <w:p>
      <w:pPr>
        <w:pStyle w:val="Normal"/>
        <w:jc w:val="left"/>
      </w:pPr>
      <w:r>
        <w:t>Id: 5d4b8f10-7857-4a2f-9b8c-d61e367a6bcc</w:t>
      </w:r>
    </w:p>
    <w:p>
      <w:pPr>
        <w:pStyle w:val="Quote"/>
        <w:jc w:val="left"/>
      </w:pPr>
      <w:r>
        <w: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4"/>
        <w:jc w:val="left"/>
      </w:pPr>
      <w:r>
        <w:t>Request</w:t>
      </w:r>
    </w:p>
    <w:p>
      <w:pPr>
        <w:pStyle w:val="Normal"/>
        <w:jc w:val="left"/>
      </w:pPr>
      <w:r>
        <w:t>Control Message: TransferRequest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4"/>
        <w:jc w:val="left"/>
      </w:pPr>
      <w:r>
        <w:t>Response</w:t>
      </w:r>
    </w:p>
    <w:p>
      <w:pPr>
        <w:pStyle w:val="Normal"/>
        <w:jc w:val="left"/>
      </w:pPr>
      <w:r>
        <w:t>Control Message: TransferResponse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center"/>
      </w:pPr>
      <w:r>
        <w:t>Property Sets</w:t>
      </w:r>
    </w:p>
    <w:p>
      <w:pPr>
        <w:pStyle w:val="Normal"/>
        <w:jc w:val="left"/>
      </w:pPr>
      <w:r>
        <w:t xml:space="preserve">Name: File</w:t>
      </w:r>
    </w:p>
    <w:p>
      <w:pPr>
        <w:pStyle w:val="Normal"/>
        <w:jc w:val="left"/>
      </w:pPr>
      <w:r>
        <w:t>Id: 79d40648-02ba-4055-b700-01dce32196ec</w:t>
      </w:r>
    </w:p>
    <w:p>
      <w:pPr>
        <w:pStyle w:val="Normal"/>
        <w:jc w:val="left"/>
      </w:pPr>
      <w:r>
        <w:t>Reference Notes: file</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
      </w:r>
    </w:p>
    <w:p>
      <w:pPr>
        <w:pStyle w:val="Heading3"/>
        <w:jc w:val="left"/>
      </w:pPr>
      <w:r>
        <w:t>Properties</w:t>
      </w:r>
    </w:p>
    <w:p>
      <w:pPr>
        <w:pStyle w:val="Heading2"/>
        <w:jc w:val="center"/>
      </w:pPr>
      <w:r>
        <w:t>Child Tokens</w:t>
      </w:r>
    </w:p>
  </w:body>
</w:document>
</file>

<file path=word/footer1.xml><?xml version="1.0" encoding="utf-8"?>
<w:ftr xmlns:w="http://schemas.openxmlformats.org/wordprocessingml/2006/main">
  <w:p>
    <w:pPr>
      <w:pStyle w:val="Footer"/>
    </w:pPr>
    <w:r>
      <w:t>Bill-of-Lading</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ed764431b4c44f1" /><Relationship Type="http://schemas.openxmlformats.org/officeDocument/2006/relationships/header" Target="/word/header1.xml" Id="R9f0221a987064b24" /><Relationship Type="http://schemas.openxmlformats.org/officeDocument/2006/relationships/footer" Target="/word/footer1.xml" Id="R38e8a0543005488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