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15caadb70c24d05" /></Relationships>
</file>

<file path=word/document.xml><?xml version="1.0" encoding="utf-8"?>
<w:document xmlns:w="http://schemas.openxmlformats.org/wordprocessingml/2006/main">
  <w:body>
    <w:footerReference xmlns:r="http://schemas.openxmlformats.org/officeDocument/2006/relationships" r:id="R9465e2ecd31645a4"/>
    <w:headerReference xmlns:r="http://schemas.openxmlformats.org/officeDocument/2006/relationships" r:id="R93cb48d4f0404174"/>
    <w:p>
      <w:pPr>
        <w:pStyle w:val="Title"/>
        <w:jc w:val="center"/>
      </w:pPr>
      <w:r>
        <w:t xml:space="preserve">Bill-of-Lading</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Alex Bausch</w:t>
                </w:r>
              </w:p>
            </w:tc>
            <w:tc>
              <w:p>
                <w:r>
                  <w:t>2Tokens</w:t>
                </w:r>
              </w:p>
            </w:tc>
          </w:tr>
          <w:tr>
            <w:tc>
              <w:p>
                <w:r>
                  <w:t>Aljosja Beije</w:t>
                </w:r>
              </w:p>
            </w:tc>
            <w:tc>
              <w:p>
                <w:r>
                  <w:t>BlockLab</w:t>
                </w:r>
              </w:p>
            </w:tc>
          </w:tr>
        </w:tbl>
      </w:r>
    </w:p>
    <w:p>
      <w:pPr>
        <w:pStyle w:val="Heading3"/>
        <w:jc w:val="center"/>
      </w:pPr>
      <w:r>
        <w:t>Taxonomy Formula: [tN{~d,t,c,SC}+phFile]</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Whole</w:t>
                </w:r>
              </w:p>
              <w:tcPr>
                <w:tcW w:w="15" w:type="pct"/>
              </w:tcPr>
            </w:tc>
            <w:tc>
              <w:p>
                <w:r>
                  <w:t>There can be many instances of this token, but they cannot be divided.</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r>
            <w:tc>
              <w:p>
                <w:r>
                  <w:t>Supply:</w:t>
                </w:r>
              </w:p>
              <w:tcPr>
                <w:tcW w:w="20" w:type="pct"/>
              </w:tcPr>
            </w:tc>
            <w:tc>
              <w:p>
                <w:r>
                  <w:t>Fixed</w:t>
                </w:r>
              </w:p>
              <w:tcPr>
                <w:tcW w:w="15" w:type="pct"/>
              </w:tcPr>
            </w:tc>
            <w:tc>
              <w:p>
                <w:r>
                  <w:t>This token may issue an initial quantity upon creation, tokens cannot be removed or added to the supply.</w:t>
                </w:r>
              </w:p>
              <w:tcPr>
                <w:tcW w:w="65" w:type="pct"/>
              </w:tcPr>
            </w:tc>
          </w:tr>
        </w:tbl>
      </w:r>
    </w:p>
    <w:p>
      <w:pPr>
        <w:pStyle w:val="Quote"/>
        <w:jc w:val="left"/>
      </w:pPr>
      <w:r>
        <w:t>This is a Variable Supply Whole Non-Fungible where the total supply can vary. The tokens in this class will be of the same series, sharing those properties, but also have unique values. It is Whole by setting the Decimals property on the dividable behavior = 0. A token instance can be burned.</w:t>
      </w:r>
    </w:p>
    <w:p>
      <w:pPr>
        <w:pStyle w:val="Heading3"/>
        <w:jc w:val="left"/>
      </w:pPr>
      <w:r>
        <w:t>Example</w:t>
      </w:r>
    </w:p>
    <w:p>
      <w:pPr>
        <w:pStyle w:val="Normal"/>
        <w:jc w:val="left"/>
      </w:pPr>
      <w:r>
        <w:t>Non-divisible, transferable bills of lading for shipping with supply controls (minting, burning, and roles).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Bill-of-Lading</w:t>
                </w:r>
              </w:p>
            </w:tc>
            <w:tc>
              <w:p>
                <w:r>
                  <w:t>Non-divisible, transferable bills of lading for shipping with supply controls (minting, burning, and roles).</w:t>
                </w:r>
              </w:p>
            </w:tc>
          </w:tr>
        </w:tbl>
      </w:r>
    </w:p>
    <w:p>
      <w:pPr>
        <w:pStyle w:val="Heading1"/>
        <w:jc w:val="left"/>
      </w:pPr>
      <w:r>
        <w:t>Bill-of-Lading is:</w:t>
      </w:r>
    </w:p>
    <w:p>
      <w:pPr>
        <w:numPr>
          <w:ilvl w:val="0"/>
          <w:numId w:val="1"/>
        </w:numPr>
        <w:spacing w:after="0"/>
        <w:ind w:left="720" w:hanging="360"/>
        <w:rPr>
          <w:rFonts w:ascii="Symbol" w:hAnsi="Symbol"/>
        </w:rPr>
      </w:pPr>
      <w:r>
        <w:t>Indivisible</w:t>
      </w:r>
    </w:p>
    <w:p>
      <w:pPr>
        <w:numPr>
          <w:ilvl w:val="0"/>
          <w:numId w:val="1"/>
        </w:numPr>
        <w:spacing w:after="0"/>
        <w:ind w:left="720" w:hanging="360"/>
        <w:rPr>
          <w:rFonts w:ascii="Symbol" w:hAnsi="Symbol"/>
        </w:rPr>
      </w:pPr>
      <w:r>
        <w:t>Compliant</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Mintable</w:t>
      </w:r>
    </w:p>
    <w:p>
      <w:pPr>
        <w:pStyle w:val="Heading3"/>
        <w:jc w:val="center"/>
      </w:pPr>
      <w:r>
        <w:t>It includes the following Property Sets:</w:t>
      </w:r>
    </w:p>
    <w:p>
      <w:pPr>
        <w:numPr>
          <w:ilvl w:val="0"/>
          <w:numId w:val="2"/>
        </w:numPr>
        <w:spacing w:after="0"/>
        <w:ind w:left="720" w:hanging="360"/>
        <w:rPr>
          <w:rFonts w:ascii="Symbol" w:hAnsi="Symbol"/>
        </w:rPr>
      </w:pPr>
      <w:r>
        <w:t>File</w:t>
      </w:r>
    </w:p>
    <w:p>
      <w:pPr>
        <w:pStyle w:val="Heading1"/>
        <w:jc w:val="center"/>
      </w:pPr>
      <w:r>
        <w:t>Bill-of-Lading Details</w:t>
      </w:r>
    </w:p>
    <w:p>
      <w:pPr>
        <w:pStyle w:val="Heading2"/>
        <w:jc w:val="center"/>
      </w:pPr>
      <w:r>
        <w:t xml:space="preserve">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but the class of a non-fungible token may be of the same type. A class of non-fungible tokens can be used to represent many tokens that share the same properties, but have different values for them. Meaning a non-fungible token is not interchangeable with other tokens of the same class but can have some shared properties and values while also having unique property values between token instances in the class.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An Artists Collection</w:t>
                </w:r>
              </w:p>
            </w:tc>
            <w:tc>
              <w:p>
                <w:r>
                  <w:t>An artist may want to represent all their art in a single class of non-fungible tokens, where each token represents a unique piece of art what shared information about the artist between art works, but unique properties between tokens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100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Indivisible</w:t>
      </w:r>
    </w:p>
    <w:p>
      <w:pPr>
        <w:pStyle w:val="Heading3"/>
        <w:jc w:val="left"/>
      </w:pPr>
      <w:r>
        <w:t>Taxonomy Symbol: ~d</w:t>
      </w:r>
    </w:p>
    <w:p>
      <w:pPr>
        <w:pStyle w:val="Quote"/>
        <w:jc w:val="left"/>
      </w:pPr>
      <w:r>
        <w:t>An ability or restriction on the token where it cannot be divided from a single whole token into fractions. Sets the base token Decimals property to 0 which will make the token indivisible and a whole token is the smallest ownable unit of the token.</w:t>
      </w:r>
    </w:p>
    <w:p>
      <w:pPr>
        <w:pStyle w:val="Heading3"/>
        <w:jc w:val="left"/>
      </w:pPr>
      <w:r>
        <w:t>Example</w:t>
      </w:r>
    </w:p>
    <w:p>
      <w:pPr>
        <w:pStyle w:val="Normal"/>
        <w:jc w:val="left"/>
      </w:pPr>
      <w:r>
        <w:t>Indivisible is common for items where 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divide.</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Indivisible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indivisible.proto</w:t>
                </w:r>
              </w:p>
            </w:tc>
            <w:tc>
              <w:p>
                <w:r>
                  <w:t/>
                </w:r>
              </w:p>
            </w:tc>
          </w:tr>
          <w:tr>
            <w:tc>
              <w:p>
                <w:r>
                  <w:t>Uml</w:t>
                </w:r>
              </w:p>
            </w:tc>
            <w:tc>
              <w:p>
                <w:r>
                  <w:t>indivisible.md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Indivisible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2"/>
        <w:jc w:val="left"/>
      </w:pPr>
      <w:r>
        <w:t>Specification Behavior</w:t>
      </w:r>
    </w:p>
    <w:p>
      <w:pPr>
        <w:pStyle w:val="Heading1"/>
        <w:jc w:val="center"/>
      </w:pPr>
      <w:r>
        <w:t xml:space="preserve">Compliant</w:t>
      </w:r>
    </w:p>
    <w:p>
      <w:pPr>
        <w:pStyle w:val="Heading3"/>
        <w:jc w:val="left"/>
      </w:pPr>
      <w:r>
        <w:t>Taxonomy Symbol: c</w:t>
      </w:r>
    </w:p>
    <w:p>
      <w:pPr>
        <w:pStyle w:val="Quote"/>
        <w:jc w:val="left"/>
      </w:pPr>
      <w:r>
        <w:t>A regulated token needs to comply with several legal requirements, especially KYC and AML. If the necessary checks have to be made off-chain the token transfer becomes centralized. Further the transfer in this case takes longer to complete as it can not be done in one transaction, but requires a second confirmation step. A compliant token fulfills all legal requirements on-chain without interaction from an off-chain entity.</w:t>
      </w:r>
    </w:p>
    <w:p>
      <w:pPr>
        <w:pStyle w:val="Heading3"/>
        <w:jc w:val="left"/>
      </w:pPr>
      <w:r>
        <w:t>Example</w:t>
      </w:r>
    </w:p>
    <w:p>
      <w:pPr>
        <w:pStyle w:val="Normal"/>
        <w:jc w:val="left"/>
      </w:pPr>
      <w:r>
        <w:t>When doing a bank transfer the transaction is checked by the involved banks according to legal requirements.</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Compliant</w:t>
            </w:r>
          </w:p>
          <w:tcPr>
            <w:tcW w:w="70" w:type="pct"/>
          </w:tcPr>
        </w:tc>
      </w:tr>
      <w:tr>
        <w:tc>
          <w:p>
            <w:r>
              <w:t>Id:</w:t>
            </w:r>
          </w:p>
          <w:tcPr>
            <w:tcW w:w="30" w:type="pct"/>
          </w:tcPr>
        </w:tc>
        <w:tc>
          <w:p>
            <w:r>
              <w:t>03dd1c48-dfdb-4ec1-86c8-69c3abac76b7</w:t>
            </w:r>
          </w:p>
          <w:tcPr>
            <w:tcW w:w="70" w:type="pct"/>
          </w:tcPr>
        </w:tc>
      </w:tr>
      <w:tr>
        <w:tc>
          <w:p>
            <w:r>
              <w:t>Visual:</w:t>
            </w:r>
          </w:p>
          <w:tcPr>
            <w:tcW w:w="30" w:type="pct"/>
          </w:tcPr>
        </w:tc>
        <w:tc>
          <w:p>
            <w:r>
              <w:t>&lt;i&gt;c&lt;/i&gt;</w:t>
            </w:r>
          </w:p>
          <w:tcPr>
            <w:tcW w:w="70" w:type="pct"/>
          </w:tcPr>
        </w:tc>
      </w:tr>
      <w:tr>
        <w:tc>
          <w:p>
            <w:r>
              <w:t>Tooling:</w:t>
            </w:r>
          </w:p>
          <w:tcPr>
            <w:tcW w:w="30" w:type="pct"/>
          </w:tcPr>
        </w:tc>
        <w:tc>
          <w:p>
            <w:r>
              <w:t>c</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compliant.proto</w:t>
                </w:r>
              </w:p>
            </w:tc>
            <w:tc>
              <w:p>
                <w:r>
                  <w:t/>
                </w:r>
              </w:p>
            </w:tc>
          </w:tr>
          <w:tr>
            <w:tc>
              <w:p>
                <w:r>
                  <w:t>Uml</w:t>
                </w:r>
              </w:p>
            </w:tc>
            <w:tc>
              <w:p>
                <w:r>
                  <w:t>compliant.md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Compliant responds to these Invocations</w:t>
      </w:r>
    </w:p>
    <w:p>
      <w:pPr>
        <w:pStyle w:val="Heading4"/>
        <w:jc w:val="left"/>
      </w:pPr>
      <w:r>
        <w:t>CheckTransferAllowed</w:t>
      </w:r>
    </w:p>
    <w:p>
      <w:pPr>
        <w:pStyle w:val="Normal"/>
        <w:jc w:val="left"/>
      </w:pPr>
      <w:r>
        <w:t>Id: 3f591127-0508-445b-b449-4adc3d8d90e9</w:t>
      </w:r>
    </w:p>
    <w:p>
      <w:pPr>
        <w:pStyle w:val="Normal"/>
        <w:jc w:val="left"/>
      </w:pPr>
      <w:r>
        <w:t>Description: Checks if the transfer request is allowed to be executed with the given parameters.</w:t>
      </w:r>
    </w:p>
    <w:p>
      <w:pPr>
        <w:pStyle w:val="Heading5"/>
        <w:jc w:val="left"/>
      </w:pPr>
      <w:r>
        <w:t>Request Message:</w:t>
      </w:r>
    </w:p>
    <w:p>
      <w:pPr>
        <w:pStyle w:val="Normal"/>
        <w:jc w:val="left"/>
      </w:pPr>
      <w:r>
        <w:t>CheckTransferAllowedRequest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CheckTransferAllowedResponse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Normal"/>
        <w:jc w:val="center"/>
      </w:pPr>
      <w:r>
        <w:t/>
      </w:r>
    </w:p>
    <w:p>
      <w:pPr>
        <w:pStyle w:val="Heading4"/>
        <w:jc w:val="left"/>
      </w:pPr>
      <w:r>
        <w:t>CheckMintAllowed</w:t>
      </w:r>
    </w:p>
    <w:p>
      <w:pPr>
        <w:pStyle w:val="Normal"/>
        <w:jc w:val="left"/>
      </w:pPr>
      <w:r>
        <w:t>Id: 0323b374-71af-48f6-93ff-2a63366267db</w:t>
      </w:r>
    </w:p>
    <w:p>
      <w:pPr>
        <w:pStyle w:val="Normal"/>
        <w:jc w:val="left"/>
      </w:pPr>
      <w:r>
        <w:t>Description: Checks if the mint request is allowed to be executed with the given parameters.</w:t>
      </w:r>
    </w:p>
    <w:p>
      <w:pPr>
        <w:pStyle w:val="Heading5"/>
        <w:jc w:val="left"/>
      </w:pPr>
      <w:r>
        <w:t>Request Message:</w:t>
      </w:r>
    </w:p>
    <w:p>
      <w:pPr>
        <w:pStyle w:val="Normal"/>
        <w:jc w:val="left"/>
      </w:pPr>
      <w:r>
        <w:t>CheckMintAllowedRequest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minting request is allowed and false means it is not.</w:t>
                </w:r>
              </w:p>
            </w:tc>
          </w:tr>
        </w:tbl>
      </w:r>
    </w:p>
    <w:p>
      <w:pPr>
        <w:pStyle w:val="Normal"/>
        <w:jc w:val="center"/>
      </w:pPr>
      <w:r>
        <w:t/>
      </w:r>
    </w:p>
    <w:p>
      <w:pPr>
        <w:pStyle w:val="Heading4"/>
        <w:jc w:val="left"/>
      </w:pPr>
      <w:r>
        <w:t>CheckBurnAllowed</w:t>
      </w:r>
    </w:p>
    <w:p>
      <w:pPr>
        <w:pStyle w:val="Normal"/>
        <w:jc w:val="left"/>
      </w:pPr>
      <w:r>
        <w:t>Id: 8edffc4d-d14e-4a98-8c96-338835d5534c</w:t>
      </w:r>
    </w:p>
    <w:p>
      <w:pPr>
        <w:pStyle w:val="Normal"/>
        <w:jc w:val="left"/>
      </w:pPr>
      <w:r>
        <w:t>Description: Checks if the burn request is allowed to be executed with the given parameters.</w:t>
      </w:r>
    </w:p>
    <w:p>
      <w:pPr>
        <w:pStyle w:val="Heading5"/>
        <w:jc w:val="left"/>
      </w:pPr>
      <w:r>
        <w:t>Request Message:</w:t>
      </w:r>
    </w:p>
    <w:p>
      <w:pPr>
        <w:pStyle w:val="Normal"/>
        <w:jc w:val="left"/>
      </w:pPr>
      <w:r>
        <w:t>CheckBurnAllowedRequest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Quantity</w:t>
                </w:r>
              </w:p>
            </w:tc>
            <w:tc>
              <w:p>
                <w:r>
                  <w:t>Number of tokens to transfer.</w:t>
                </w:r>
              </w:p>
            </w:tc>
          </w:tr>
        </w:tbl>
      </w:r>
    </w:p>
    <w:p>
      <w:pPr>
        <w:pStyle w:val="Heading5"/>
        <w:jc w:val="left"/>
      </w:pPr>
      <w:r>
        <w:t>Response Message</w:t>
      </w:r>
    </w:p>
    <w:p>
      <w:pPr>
        <w:pStyle w:val="Normal"/>
        <w:jc w:val="left"/>
      </w:pPr>
      <w:r>
        <w:t>CheckMintAllowedResponse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burn request is allowed and false means it is not.</w:t>
                </w:r>
              </w:p>
            </w:tc>
          </w:tr>
        </w:tbl>
      </w:r>
    </w:p>
    <w:p>
      <w:pPr>
        <w:pStyle w:val="Normal"/>
        <w:jc w:val="center"/>
      </w:pPr>
      <w:r>
        <w:t/>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BurnFrom invocations.</w:t>
                </w:r>
              </w:p>
            </w:tc>
            <w:tc>
              <w:p>
                <w:r>
                  <w:t>r</w:t>
                </w:r>
              </w:p>
            </w:tc>
            <w:tc>
              <w:p>
                <w:r>
                  <w:t>[ ]</w:t>
                </w:r>
              </w:p>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r>
            <w:tc>
              <w:p>
                <w:r>
                  <w:t>If CO2 is present, an check to see if the adjustment window has expired must be made to ensure that burning or retiring is allowed.</w:t>
                </w:r>
              </w:p>
            </w:tc>
            <w:tc>
              <w:p>
                <w:r>
                  <w:t>phCO2</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r>
            <w:tc>
              <w:p>
                <w:r>
                  <w:t>Burners</w:t>
                </w:r>
              </w:p>
            </w:tc>
            <w:tc>
              <w:p>
                <w:r>
                  <w:t>A role called 'Burners' for a token can have accounts in the role. The BurnFrom behavior invocation will be bound to the role check to ensure only account in the 'Burners'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Transfer and TransferFrom invocations in situations where the recipient has to meet certain criteria (e.g. Beneficiaries).</w:t>
                </w:r>
              </w:p>
            </w:tc>
            <w:tc>
              <w:p>
                <w:r>
                  <w:t>r</w:t>
                </w:r>
              </w:p>
            </w:tc>
            <w:tc>
              <w:p>
                <w:r>
                  <w:t>[ ]</w:t>
                </w:r>
              </w:p>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r>
            <w:tc>
              <w:p>
                <w:r>
                  <w:t>If offsetable is present, an check on if the token has been offset must be made and if it has, transfer should be denied.</w:t>
                </w:r>
              </w:p>
            </w:tc>
            <w:tc>
              <w:p>
                <w:r>
                  <w:t>off</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Normal"/>
        <w:jc w:val="left"/>
      </w:pPr>
      <w:r>
        <w:t>Binding Is Influenced by Compliant's Invocation CheckTransferAllowed</w:t>
      </w:r>
      <w:r>
        <w:t>Compliant's Invocation CheckTransferAllowed Intercepts this behavior's invocation.'</w:t>
      </w:r>
    </w:p>
    <w:p>
      <w:pPr>
        <w:pStyle w:val="Heading4"/>
        <w:jc w:val="left"/>
      </w:pPr>
      <w:r>
        <w:t>CheckTransferAllowed</w:t>
      </w:r>
    </w:p>
    <w:p>
      <w:pPr>
        <w:pStyle w:val="Normal"/>
        <w:jc w:val="left"/>
      </w:pPr>
      <w:r>
        <w:t>Id: 3f591127-0508-445b-b449-4adc3d8d90e9</w:t>
      </w:r>
    </w:p>
    <w:p>
      <w:pPr>
        <w:pStyle w:val="Normal"/>
        <w:jc w:val="left"/>
      </w:pPr>
      <w:r>
        <w:t>Description: Check to see if the account has been whitelisted and KYC'd, by the custodian.</w:t>
      </w:r>
    </w:p>
    <w:p>
      <w:pPr>
        <w:pStyle w:val="Heading5"/>
        <w:jc w:val="left"/>
      </w:pPr>
      <w:r>
        <w:t>Request Message:</w:t>
      </w:r>
    </w:p>
    <w:p>
      <w:pPr>
        <w:pStyle w:val="Normal"/>
        <w:jc w:val="left"/>
      </w:pPr>
      <w:r>
        <w:t>CheckTransferAllowedRequest</w:t>
      </w:r>
    </w:p>
    <w:p>
      <w:pPr>
        <w:pStyle w:val="Normal"/>
        <w:jc w:val="left"/>
      </w:pPr>
      <w:r>
        <w:t>Description: Checking the whitelist.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CheckTransferAllowedResponse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Result</w:t>
                </w:r>
              </w:p>
            </w:tc>
            <w:tc>
              <w:p>
                <w:r>
                  <w:t>A boolean value whereas true means the transfer is allowed and false means it is not.</w:t>
                </w:r>
              </w:p>
            </w:tc>
          </w:tr>
        </w:tbl>
      </w:r>
    </w:p>
    <w:p>
      <w:pPr>
        <w:pStyle w:val="Normal"/>
        <w:jc w:val="center"/>
      </w:pPr>
      <w:r>
        <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'Minters'</w:t>
      </w:r>
    </w:p>
    <w:p>
      <w:pPr>
        <w:pStyle w:val="Heading5"/>
        <w:jc w:val="left"/>
      </w:pPr>
      <w:r>
        <w:t>Request Message:</w:t>
      </w:r>
    </w:p>
    <w:p>
      <w:pPr>
        <w:pStyle w:val="Normal"/>
        <w:jc w:val="left"/>
      </w:pPr>
      <w:r>
        <w:t>IsInRole</w:t>
      </w:r>
    </w:p>
    <w:p>
      <w:pPr>
        <w:pStyle w:val="Normal"/>
        <w:jc w:val="left"/>
      </w:pPr>
      <w:r>
        <w:t>Description: Checking the 'Minters'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'Minters'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2"/>
        <w:jc w:val="center"/>
      </w:pPr>
      <w:r>
        <w:t xml:space="preserve">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Minters, that will be allowed to invoke the Mintable behavior. The owner can add accounts to the role and any account that is a member of the role will be able to mint tokens in the class.</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Minters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Minters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supply-control.proto</w:t>
                </w:r>
              </w:p>
            </w:tc>
            <w:tc>
              <w:p>
                <w:r>
                  <w:t/>
                </w:r>
              </w:p>
            </w:tc>
          </w:tr>
          <w:tr>
            <w:tc>
              <w:p>
                <w:r>
                  <w:t>Uml</w:t>
                </w:r>
              </w:p>
            </w:tc>
            <w:tc>
              <w:p>
                <w:r>
                  <w:t>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Heading2"/>
        <w:jc w:val="left"/>
      </w:pPr>
      <w:r>
        <w:t>Specification Property Set</w:t>
      </w:r>
    </w:p>
    <w:p>
      <w:pPr>
        <w:pStyle w:val="Heading2"/>
        <w:jc w:val="center"/>
      </w:pPr>
      <w:r>
        <w:t xml:space="preserve">File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File</w:t>
            </w:r>
          </w:p>
          <w:tcPr>
            <w:tcW w:w="70" w:type="pct"/>
          </w:tcPr>
        </w:tc>
      </w:tr>
      <w:tr>
        <w:tc>
          <w:p>
            <w:r>
              <w:t>Id:</w:t>
            </w:r>
          </w:p>
          <w:tcPr>
            <w:tcW w:w="30" w:type="pct"/>
          </w:tcPr>
        </w:tc>
        <w:tc>
          <w:p>
            <w:r>
              <w:t>79d40648-02ba-4055-b700-01dce32196ec</w:t>
            </w:r>
          </w:p>
          <w:tcPr>
            <w:tcW w:w="70" w:type="pct"/>
          </w:tcPr>
        </w:tc>
      </w:tr>
      <w:tr>
        <w:tc>
          <w:p>
            <w:r>
              <w:t>Visual:</w:t>
            </w:r>
          </w:p>
          <w:tcPr>
            <w:tcW w:w="30" w:type="pct"/>
          </w:tcPr>
        </w:tc>
        <w:tc>
          <w:p>
            <w:r>
              <w:t>&amp;phi;&lt;i&gt;FILE&lt;/i&gt;</w:t>
            </w:r>
          </w:p>
          <w:tcPr>
            <w:tcW w:w="70" w:type="pct"/>
          </w:tcPr>
        </w:tc>
      </w:tr>
      <w:tr>
        <w:tc>
          <w:p>
            <w:r>
              <w:t>Tooling:</w:t>
            </w:r>
          </w:p>
          <w:tcPr>
            <w:tcW w:w="30" w:type="pct"/>
          </w:tcPr>
        </w:tc>
        <w:tc>
          <w:p>
            <w:r>
              <w:t>phFILE</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file property or field with a Read/Query and Set control</w:t>
      </w:r>
    </w:p>
    <w:p>
      <w:pPr>
        <w:pStyle w:val="Heading2"/>
        <w:jc w:val="left"/>
      </w:pPr>
      <w:r>
        <w:t>Example</w:t>
      </w:r>
    </w:p>
    <w:p>
      <w:pPr>
        <w:pStyle w:val="Normal"/>
        <w:jc w:val="left"/>
      </w:pPr>
      <w:r>
        <w:t>Storing an authentic reference for a file, hash type, hash, uri path, etc. Can be used to detect file tampering when compared with the file from storage.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Cold Storage</w:t>
                </w:r>
              </w:p>
            </w:tc>
            <w:tc>
              <w:p>
                <w:r>
                  <w:t>Placing a digital copy of an agreement, receipt, etc. in digital storage and store its tamper detection information and location in a token on the blockchain. </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File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file.proto</w:t>
                </w:r>
              </w:p>
            </w:tc>
            <w:tc>
              <w:p>
                <w:r>
                  <w:t/>
                </w:r>
              </w:p>
            </w:tc>
          </w:tr>
          <w:tr>
            <w:tc>
              <w:p>
                <w:r>
                  <w:t>Uml</w:t>
                </w:r>
              </w:p>
            </w:tc>
            <w:tc>
              <w:p>
                <w:r>
                  <w:t>file.md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Unique</w:t>
                </w:r>
              </w:p>
              <w:tcPr>
                <w:tcW w:w="35" w:type="pct"/>
              </w:tcPr>
            </w:tc>
            <w:tc>
              <w:p>
                <w:r>
                  <w:t>Token instances can have unique or different values for this property set in the class.</w:t>
                </w:r>
              </w:p>
              <w:tcPr>
                <w:tcW w:w="65" w:type="pct"/>
              </w:tcPr>
            </w:tc>
          </w:tr>
        </w:tbl>
      </w:r>
    </w:p>
    <w:p>
      <w:pPr>
        <w:pStyle w:val="Heading2"/>
        <w:jc w:val="left"/>
      </w:pPr>
      <w:r>
        <w:t>Properties</w:t>
      </w:r>
    </w:p>
    <w:p>
      <w:pPr>
        <w:pStyle w:val="Heading3"/>
        <w:jc w:val="left"/>
      </w:pPr>
      <w:r>
        <w:t>Property Name: File</w:t>
      </w:r>
    </w:p>
    <w:p>
      <w:pPr>
        <w:pStyle w:val="Normal"/>
        <w:jc w:val="left"/>
      </w:pPr>
      <w:r>
        <w:t>Property Value Description: Contains the file for the token.</w:t>
      </w:r>
    </w:p>
    <w:p>
      <w:pPr>
        <w:pStyle w:val="Normal"/>
        <w:jc w:val="left"/>
      </w:pPr>
      <w:r>
        <w:t>Template Value is set to: </w:t>
      </w:r>
    </w:p>
    <w:p>
      <w:pPr>
        <w:pStyle w:val="Heading2"/>
        <w:jc w:val="left"/>
      </w:pPr>
      <w:r>
        <w:t>File responds to these Invocations</w:t>
      </w:r>
    </w:p>
  </w:body>
</w:document>
</file>

<file path=word/footer1.xml><?xml version="1.0" encoding="utf-8"?>
<w:ftr xmlns:w="http://schemas.openxmlformats.org/wordprocessingml/2006/main">
  <w:p>
    <w:pPr>
      <w:pStyle w:val="Footer"/>
    </w:pPr>
    <w:r>
      <w:t>Bill-of-Lading - 0ed9010f93400e11b6848030825085abadc362a83dc23269a87e7b6a22f8598b</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8f8ec1620e4b4d51" /><Relationship Type="http://schemas.openxmlformats.org/officeDocument/2006/relationships/numbering" Target="/word/numbering.xml" Id="NumberingDefinitionsPart001" /><Relationship Type="http://schemas.openxmlformats.org/officeDocument/2006/relationships/header" Target="/word/header1.xml" Id="R93cb48d4f0404174" /><Relationship Type="http://schemas.openxmlformats.org/officeDocument/2006/relationships/footer" Target="/word/footer1.xml" Id="R9465e2ecd31645a4"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