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0dac3b27fb54b4a" /></Relationships>
</file>

<file path=word/document.xml><?xml version="1.0" encoding="utf-8"?>
<w:document xmlns:w="http://schemas.openxmlformats.org/wordprocessingml/2006/main">
  <w:body>
    <w:footerReference xmlns:r="http://schemas.openxmlformats.org/officeDocument/2006/relationships" r:id="Ra49701d6a53243d0"/>
    <w:headerReference xmlns:r="http://schemas.openxmlformats.org/officeDocument/2006/relationships" r:id="Ra29cd9e4c5d341de"/>
    <w:p>
      <w:pPr>
        <w:pStyle w:val="Title"/>
        <w:jc w:val="center"/>
      </w:pPr>
      <w:r>
        <w:t xml:space="preserve">Core-Carbon-Principles</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[tF’{d,t,e,v,g,OSC}+phCCP+phCCA]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DRAFT - This is a token based on the recommendations from the Taskforce for Scaling Voluntary Carbon Markets (TSVCM) for creating the Core Carbon Principles and extended attributes.  It is a Unique Fractional Fungible, to 2 decimal places with Offsetable Supply Control with Revoke and Replacement, Core Carbon Principles and Core Carbon Attributes.  It is a token where 1 token equals 1 mtCO2e and can be issued in any amount. A token instance can be minted if the requesting party is in the minters role. This template contains the Replacement, Core Carbon Principles and Core Carbon Attributes property sets as well.</w:t>
      </w:r>
    </w:p>
    <w:p>
      <w:pPr>
        <w:pStyle w:val="Heading3"/>
        <w:jc w:val="left"/>
      </w:pPr>
      <w:r>
        <w:t>Example</w:t>
      </w:r>
    </w:p>
    <w:p>
      <w:pPr>
        <w:pStyle w:val="Normal"/>
        <w:jc w:val="left"/>
      </w:pPr>
      <w:r>
        <w:t>Typically used to represent a token based on the TSVCM Core Carbon Principles or CCP to be a common representation of a carbon credit designated for use in voluntary markets. When accompanied with additional attributes, credits can be differentiated from their CO2e face value to include details as to reduction vs. removal, project location, durability, etc. These CCP tokens can then be bundled together based on their similar attribute values into 'reference contracts' to be traded in larger lots.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Removal Token</w:t>
                </w:r>
              </w:p>
            </w:tc>
            <w:tc>
              <w:p>
                <w:r>
                  <w:t>A token created by a verifier that has verified a carbon removal claim.</w:t>
                </w:r>
              </w:p>
            </w:tc>
          </w:tr>
        </w:tbl>
      </w:r>
    </w:p>
    <w:p>
      <w:pPr>
        <w:pStyle w:val="Heading1"/>
        <w:jc w:val="left"/>
      </w:pPr>
      <w:r>
        <w:t>Core-Carbon-Principles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Offsetable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Encumberable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Revokable</w:t>
      </w:r>
    </w:p>
    <w:p>
      <w:pPr>
        <w:pStyle w:val="Heading3"/>
        <w:jc w:val="center"/>
      </w:pPr>
      <w:r>
        <w:t>It includes the following Property Sets:</w:t>
      </w:r>
    </w:p>
    <w:p>
      <w:pPr>
        <w:numPr>
          <w:ilvl w:val="0"/>
          <w:numId w:val="2"/>
        </w:numPr>
        <w:spacing w:after="0"/>
        <w:ind w:left="720" w:hanging="360"/>
        <w:rPr>
          <w:rFonts w:ascii="Symbol" w:hAnsi="Symbol"/>
        </w:rPr>
      </w:pPr>
      <w:r>
        <w:t>Core Carbon Principles</w:t>
      </w:r>
    </w:p>
    <w:p>
      <w:pPr>
        <w:numPr>
          <w:ilvl w:val="0"/>
          <w:numId w:val="2"/>
        </w:numPr>
        <w:spacing w:after="0"/>
        <w:ind w:left="720" w:hanging="360"/>
        <w:rPr>
          <w:rFonts w:ascii="Symbol" w:hAnsi="Symbol"/>
        </w:rPr>
      </w:pPr>
      <w:r>
        <w:t>Core Carbon Attributes</w:t>
      </w:r>
    </w:p>
    <w:p>
      <w:pPr>
        <w:pStyle w:val="Heading1"/>
        <w:jc w:val="center"/>
      </w:pPr>
      <w:r>
        <w:t>Core-Carbon-Principles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Reference</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GetDecimalsRequest</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AllowanceRequest</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ApproveRequest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Offsetable</w:t>
      </w:r>
    </w:p>
    <w:p>
      <w:pPr>
        <w:pStyle w:val="Heading3"/>
        <w:jc w:val="left"/>
      </w:pPr>
      <w:r>
        <w:t>Taxonomy Symbol: off</w:t>
      </w:r>
    </w:p>
    <w:p>
      <w:pPr>
        <w:pStyle w:val="Quote"/>
        <w:jc w:val="left"/>
      </w:pPr>
      <w:r>
        <w:t>A token class that implements this behavior is burned or retired with its value being applied to offset another balance. For example, a Carbon Credit can be used to offset a carbon emission to achieve emissions goals like net zero; a 1 mtCO2e emission can be offset by applying a 1mtCO2e credit. The process of applying a credit to lower an emission is called offsetting. This behavior extends the traditional burn or retire behavior by requiring an offset target id so that the token being offset is correlated with the appropriate emission. Once a token is offset, it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CO2e, which allows for offsetting of emissions.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Offsetable</w:t>
            </w:r>
          </w:p>
          <w:tcPr>
            <w:tcW w:w="70" w:type="pct"/>
          </w:tcPr>
        </w:tc>
      </w:tr>
      <w:tr>
        <w:tc>
          <w:p>
            <w:r>
              <w:t>Id:</w:t>
            </w:r>
          </w:p>
          <w:tcPr>
            <w:tcW w:w="30" w:type="pct"/>
          </w:tcPr>
        </w:tc>
        <w:tc>
          <w:p>
            <w:r>
              <w:t>559c9f31-dd89-4012-a726-40cde5463569</w:t>
            </w:r>
          </w:p>
          <w:tcPr>
            <w:tcW w:w="70" w:type="pct"/>
          </w:tcPr>
        </w:tc>
      </w:tr>
      <w:tr>
        <w:tc>
          <w:p>
            <w:r>
              <w:t>Visual:</w:t>
            </w:r>
          </w:p>
          <w:tcPr>
            <w:tcW w:w="30" w:type="pct"/>
          </w:tcPr>
        </w:tc>
        <w:tc>
          <w:p>
            <w:r>
              <w:t>&lt;i&gt;off&lt;/i&gt;</w:t>
            </w:r>
          </w:p>
          <w:tcPr>
            <w:tcW w:w="70" w:type="pct"/>
          </w:tcPr>
        </w:tc>
      </w:tr>
      <w:tr>
        <w:tc>
          <w:p>
            <w:r>
              <w:t>Tooling:</w:t>
            </w:r>
          </w:p>
          <w:tcPr>
            <w:tcW w:w="30" w:type="pct"/>
          </w:tcPr>
        </w:tc>
        <w:tc>
          <w:p>
            <w:r>
              <w:t>off</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offset on their behalf, which would still offset the owners emissions. Delegable or not, will determine if the OffsetFrom Control will be available in the implementation.</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offsetable.proto</w:t>
                </w:r>
              </w:p>
            </w:tc>
            <w:tc>
              <w:p>
                <w:r>
                  <w:t/>
                </w:r>
              </w:p>
            </w:tc>
          </w:tr>
          <w:tr>
            <w:tc>
              <w:p>
                <w:r>
                  <w:t>Uml</w:t>
                </w:r>
              </w:p>
            </w:tc>
            <w:tc>
              <w:p>
                <w:r>
                  <w:t>offsetable.md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Offsetable responds to these Invocations</w:t>
      </w:r>
    </w:p>
    <w:p>
      <w:pPr>
        <w:pStyle w:val="Heading4"/>
        <w:jc w:val="left"/>
      </w:pPr>
      <w:r>
        <w:t>Offset</w:t>
      </w:r>
    </w:p>
    <w:p>
      <w:pPr>
        <w:pStyle w:val="Normal"/>
        <w:jc w:val="left"/>
      </w:pPr>
      <w:r>
        <w:t>Id: 2019574d-c8bf-44b6-afb7-cb6eaf74a308</w:t>
      </w:r>
    </w:p>
    <w:p>
      <w:pPr>
        <w:pStyle w:val="Normal"/>
        <w:jc w:val="left"/>
      </w:pPr>
      <w:r>
        <w:t>Description: A request to offset a token instance(s) in the class by the owner of the token instance(s), once the token is Offset, invocations of Transfer should be blocked.  Optional Quantity field in the request, if not present the percentage if the CO2/Adjustment value represented by the fractional quantity of the token instance will be offset.</w:t>
      </w:r>
    </w:p>
    <w:p>
      <w:pPr>
        <w:pStyle w:val="Heading5"/>
        <w:jc w:val="left"/>
      </w:pPr>
      <w:r>
        <w:t>Request Message:</w:t>
      </w:r>
    </w:p>
    <w:p>
      <w:pPr>
        <w:pStyle w:val="Normal"/>
        <w:jc w:val="left"/>
      </w:pPr>
      <w:r>
        <w:t>OffsetRequest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AppliedTo</w:t>
                </w:r>
              </w:p>
            </w:tc>
            <w:tc>
              <w:p>
                <w:r>
                  <w:t>The Id of the reported emission that is being offset.</w:t>
                </w:r>
              </w:p>
            </w:tc>
          </w:tr>
        </w:tbl>
      </w:r>
    </w:p>
    <w:p>
      <w:pPr>
        <w:pStyle w:val="Heading5"/>
        <w:jc w:val="left"/>
      </w:pPr>
      <w:r>
        <w:t>Response Message</w:t>
      </w:r>
    </w:p>
    <w:p>
      <w:pPr>
        <w:pStyle w:val="Normal"/>
        <w:jc w:val="left"/>
      </w:pPr>
      <w:r>
        <w:t>OffsetResponse</w:t>
      </w:r>
    </w:p>
    <w:p>
      <w:pPr>
        <w:pStyle w:val="Normal"/>
        <w:jc w:val="left"/>
      </w:pPr>
      <w:r>
        <w:t>Description: The response from the request to offset.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request</w:t>
                </w:r>
              </w:p>
            </w:tc>
          </w:tr>
        </w:tbl>
      </w:r>
    </w:p>
    <w:p>
      <w:pPr>
        <w:pStyle w:val="Normal"/>
        <w:jc w:val="center"/>
      </w:pPr>
      <w:r>
        <w:t/>
      </w:r>
    </w:p>
    <w:p>
      <w:pPr>
        <w:pStyle w:val="Heading4"/>
        <w:jc w:val="left"/>
      </w:pPr>
      <w:r>
        <w:t>OffsetFrom</w:t>
      </w:r>
    </w:p>
    <w:p>
      <w:pPr>
        <w:pStyle w:val="Normal"/>
        <w:jc w:val="left"/>
      </w:pPr>
      <w:r>
        <w:t>Id: 47057767-e0ee-4737-993b-698f7baab3ed</w:t>
      </w:r>
    </w:p>
    <w:p>
      <w:pPr>
        <w:pStyle w:val="Normal"/>
        <w:jc w:val="left"/>
      </w:pPr>
      <w:r>
        <w:t>Description: Requires Delegable. A request to offset a token instance in the class by a party or account that has allowance to do so. Once the token is Offset, invocations of Transfer should be blocked.  Requires a From and Quantity fields in the request.</w:t>
      </w:r>
    </w:p>
    <w:p>
      <w:pPr>
        <w:pStyle w:val="Heading5"/>
        <w:jc w:val="left"/>
      </w:pPr>
      <w:r>
        <w:t>Request Message:</w:t>
      </w:r>
    </w:p>
    <w:p>
      <w:pPr>
        <w:pStyle w:val="Normal"/>
        <w:jc w:val="left"/>
      </w:pPr>
      <w:r>
        <w:t>OffsetFromRequest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offset.</w:t>
                </w:r>
              </w:p>
            </w:tc>
          </w:tr>
          <w:tr>
            <w:tc>
              <w:p>
                <w:r>
                  <w:t>AppliedTo</w:t>
                </w:r>
              </w:p>
            </w:tc>
            <w:tc>
              <w:p>
                <w:r>
                  <w:t>The Id of the reported emission that is being offset.</w:t>
                </w:r>
              </w:p>
            </w:tc>
          </w:tr>
        </w:tbl>
      </w:r>
    </w:p>
    <w:p>
      <w:pPr>
        <w:pStyle w:val="Heading5"/>
        <w:jc w:val="left"/>
      </w:pPr>
      <w:r>
        <w:t>Response Message</w:t>
      </w:r>
    </w:p>
    <w:p>
      <w:pPr>
        <w:pStyle w:val="Normal"/>
        <w:jc w:val="left"/>
      </w:pPr>
      <w:r>
        <w:t>OffsetFromResponse</w:t>
      </w:r>
    </w:p>
    <w:p>
      <w:pPr>
        <w:pStyle w:val="Normal"/>
        <w:jc w:val="left"/>
      </w:pPr>
      <w:r>
        <w:t>Description: The response from the request to offset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from request</w:t>
                </w:r>
              </w:p>
            </w:tc>
          </w:tr>
        </w:tbl>
      </w:r>
    </w:p>
    <w:p>
      <w:pPr>
        <w:pStyle w:val="Normal"/>
        <w:jc w:val="center"/>
      </w:pPr>
      <w:r>
        <w:t/>
      </w:r>
    </w:p>
    <w:p>
      <w:pPr>
        <w:pStyle w:val="Heading3"/>
        <w:jc w:val="left"/>
      </w:pPr>
      <w:r>
        <w:t>Properties</w:t>
      </w:r>
    </w:p>
    <w:p>
      <w:pPr>
        <w:pStyle w:val="Heading4"/>
        <w:jc w:val="left"/>
      </w:pPr>
      <w:r>
        <w:t>Name: OffsetAppliedTo</w:t>
      </w:r>
    </w:p>
    <w:p>
      <w:pPr>
        <w:pStyle w:val="Normal"/>
        <w:jc w:val="left"/>
      </w:pPr>
      <w:r>
        <w:t>Value Description: Records the reported emission Id being offset, like an ESG Emissions Scorecard.</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Issuers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GetIssuers</w:t>
      </w:r>
    </w:p>
    <w:p>
      <w:pPr>
        <w:pStyle w:val="Normal"/>
        <w:jc w:val="left"/>
      </w:pPr>
      <w:r>
        <w:t>Id: </w:t>
      </w:r>
    </w:p>
    <w:p>
      <w:pPr>
        <w:pStyle w:val="Normal"/>
        <w:jc w:val="left"/>
      </w:pPr>
      <w:r>
        <w:t>Description: Request the the list of member accounts in the 'Issuers' role.</w:t>
      </w:r>
    </w:p>
    <w:p>
      <w:pPr>
        <w:pStyle w:val="Heading5"/>
        <w:jc w:val="left"/>
      </w:pPr>
      <w:r>
        <w:t>Request</w:t>
      </w:r>
    </w:p>
    <w:p>
      <w:pPr>
        <w:pStyle w:val="Normal"/>
        <w:jc w:val="left"/>
      </w:pPr>
      <w:r>
        <w:t>Control Message: GetIssuersRequest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GetIssuersResponse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'Issuers'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'Issuers'</w:t>
                </w:r>
              </w:p>
            </w:tc>
          </w:tr>
          <w:tr>
            <w:tc>
              <w:p>
                <w:r>
                  <w:t>AccountAddress</w:t>
                </w:r>
              </w:p>
            </w:tc>
            <w:tc>
              <w:p>
                <w:r>
                  <w:t>Address, name or identifier of the account to be added to the 'Issuers'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'Issuers'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'Issuers'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Normal"/>
        <w:jc w:val="left"/>
      </w:pPr>
      <w:r>
        <w:t>Binding Is Influenced by Transferable's Invocation TransferFrom</w:t>
      </w:r>
      <w:r>
        <w:t>Transferable's Invocation TransferFrom Intercepts this behavior's invocation.'</w:t>
      </w:r>
    </w:p>
    <w:p>
      <w:pPr>
        <w:pStyle w:val="Heading4"/>
        <w:jc w:val="left"/>
      </w:pPr>
      <w:r>
        <w:t>TransferFrom</w:t>
      </w:r>
    </w:p>
    <w:p>
      <w:pPr>
        <w:pStyle w:val="Normal"/>
        <w:jc w:val="left"/>
      </w:pPr>
      <w:r>
        <w:t>Id: 516b4e2f-4a14-4c4f-a6f2-1419d4af35c6</w:t>
      </w:r>
    </w:p>
    <w:p>
      <w:pPr>
        <w:pStyle w:val="Normal"/>
        <w:jc w:val="left"/>
      </w:pPr>
      <w:r>
        <w:t>Description: &gt;A transfer request is issued by the encumbering entity that can issue settlement instructions to invoke a transfer from the owner of the token to the party or account provided in the To field of the request. This invocation is influences a call to Remove the Encumberance and requires a check on the Role of the caller as the sole encumber.</w:t>
      </w:r>
    </w:p>
    <w:p>
      <w:pPr>
        <w:pStyle w:val="Heading5"/>
        <w:jc w:val="left"/>
      </w:pPr>
      <w:r>
        <w:t>Request Message:</w:t>
      </w:r>
    </w:p>
    <w:p>
      <w:pPr>
        <w:pStyle w:val="Normal"/>
        <w:jc w:val="left"/>
      </w:pPr>
      <w:r>
        <w:t>TransferFromRequest</w:t>
      </w:r>
    </w:p>
    <w:p>
      <w:pPr>
        <w:pStyle w:val="Normal"/>
        <w:jc w:val="left"/>
      </w:pPr>
      <w:r>
        <w:t>Description: Settlement details from the encumbrancer</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Encumberable's Invocation </w:t>
      </w:r>
      <w:r>
        <w:t>Encumberable's Invocation  Intercepts this behavior's invocation.'</w:t>
      </w:r>
    </w:p>
    <w:p>
      <w:pPr>
        <w:pStyle w:val="Heading4"/>
        <w:jc w:val="left"/>
      </w:pPr>
      <w:r>
        <w:t>Encumbered</w:t>
      </w:r>
    </w:p>
    <w:p>
      <w:pPr>
        <w:pStyle w:val="Normal"/>
        <w:jc w:val="left"/>
      </w:pPr>
      <w:r>
        <w:t>Id: f35cdfee-d2f4-4a01-bf9b-33774b5df241</w:t>
      </w:r>
    </w:p>
    <w:p>
      <w:pPr>
        <w:pStyle w:val="Normal"/>
        <w:jc w:val="left"/>
      </w:pPr>
      <w:r>
        <w:t>Description: Check to see if the token has any encumbrances and if so, prevent transfer.</w:t>
      </w:r>
    </w:p>
    <w:p>
      <w:pPr>
        <w:pStyle w:val="Heading5"/>
        <w:jc w:val="left"/>
      </w:pPr>
      <w:r>
        <w:t>Request Message:</w:t>
      </w:r>
    </w:p>
    <w:p>
      <w:pPr>
        <w:pStyle w:val="Normal"/>
        <w:jc w:val="left"/>
      </w:pPr>
      <w:r>
        <w:t>GetEncumberedRequest</w:t>
      </w:r>
    </w:p>
    <w:p>
      <w:pPr>
        <w:pStyle w:val="Normal"/>
        <w:jc w:val="left"/>
      </w:pPr>
      <w:r>
        <w:t>Description: Checking the Encumbered value - true or false.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
                </w:r>
              </w:p>
            </w:tc>
            <w:tc>
              <w:p>
                <w:r>
                  <w:t/>
                </w:r>
              </w:p>
            </w:tc>
          </w:tr>
        </w:tbl>
      </w:r>
    </w:p>
    <w:p>
      <w:pPr>
        <w:pStyle w:val="Heading5"/>
        <w:jc w:val="left"/>
      </w:pPr>
      <w:r>
        <w:t>Response Message</w:t>
      </w:r>
    </w:p>
    <w:p>
      <w:pPr>
        <w:pStyle w:val="Normal"/>
        <w:jc w:val="left"/>
      </w:pPr>
      <w:r>
        <w:t>True/False</w:t>
      </w:r>
    </w:p>
    <w:p>
      <w:pPr>
        <w:pStyle w:val="Normal"/>
        <w:jc w:val="left"/>
      </w:pPr>
      <w:r>
        <w:t>Description: Respond true if the token is encumbered, false if not.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True/False</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left"/>
      </w:pPr>
      <w:r>
        <w:t>Specification Behavior</w:t>
      </w:r>
    </w:p>
    <w:p>
      <w:pPr>
        <w:pStyle w:val="Heading1"/>
        <w:jc w:val="center"/>
      </w:pPr>
      <w:r>
        <w:t xml:space="preserve">Revokable</w:t>
      </w:r>
    </w:p>
    <w:p>
      <w:pPr>
        <w:pStyle w:val="Heading3"/>
        <w:jc w:val="left"/>
      </w:pPr>
      <w:r>
        <w:t>Taxonomy Symbol: v</w:t>
      </w:r>
    </w:p>
    <w:p>
      <w:pPr>
        <w:pStyle w:val="Quote"/>
        <w:jc w:val="left"/>
      </w:pPr>
      <w:r>
        <w:t>This token has a controlling a central party, the issuer, is able to retire/burn tokens that it has issued, regardless of owner. If this behavior is paired with the replacement property set, it can support the adjustments requirements needed for some carbon removal offset requirements.</w:t>
      </w:r>
    </w:p>
    <w:p>
      <w:pPr>
        <w:pStyle w:val="Heading3"/>
        <w:jc w:val="left"/>
      </w:pPr>
      <w:r>
        <w:t>Example</w:t>
      </w:r>
    </w:p>
    <w:p>
      <w:pPr>
        <w:pStyle w:val="Normal"/>
        <w:jc w:val="left"/>
      </w:pPr>
      <w:r>
        <w:t>A Carbon Dioxide Removal Credit that is issued for one amount that needs to be adjusted can be revoked and replaced by another token that reflects the adjusted carbon amount.</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Revokable</w:t>
            </w:r>
          </w:p>
          <w:tcPr>
            <w:tcW w:w="70" w:type="pct"/>
          </w:tcPr>
        </w:tc>
      </w:tr>
      <w:tr>
        <w:tc>
          <w:p>
            <w:r>
              <w:t>Id:</w:t>
            </w:r>
          </w:p>
          <w:tcPr>
            <w:tcW w:w="30" w:type="pct"/>
          </w:tcPr>
        </w:tc>
        <w:tc>
          <w:p>
            <w:r>
              <w:t>ffaee29b-f599-4812-9914-56693ab32532</w:t>
            </w:r>
          </w:p>
          <w:tcPr>
            <w:tcW w:w="70" w:type="pct"/>
          </w:tcPr>
        </w:tc>
      </w:tr>
      <w:tr>
        <w:tc>
          <w:p>
            <w:r>
              <w:t>Visual:</w:t>
            </w:r>
          </w:p>
          <w:tcPr>
            <w:tcW w:w="30" w:type="pct"/>
          </w:tcPr>
        </w:tc>
        <w:tc>
          <w:p>
            <w:r>
              <w:t>&lt;i&gt;v&lt;/i&gt;</w:t>
            </w:r>
          </w:p>
          <w:tcPr>
            <w:tcW w:w="70" w:type="pct"/>
          </w:tcPr>
        </w:tc>
      </w:tr>
      <w:tr>
        <w:tc>
          <w:p>
            <w:r>
              <w:t>Tooling:</w:t>
            </w:r>
          </w:p>
          <w:tcPr>
            <w:tcW w:w="30" w:type="pct"/>
          </w:tcPr>
        </w:tc>
        <w:tc>
          <w:p>
            <w:r>
              <w:t>v</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revoke.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revokable.proto</w:t>
                </w:r>
              </w:p>
            </w:tc>
            <w:tc>
              <w:p>
                <w:r>
                  <w:t/>
                </w:r>
              </w:p>
            </w:tc>
          </w:tr>
          <w:tr>
            <w:tc>
              <w:p>
                <w:r>
                  <w:t>Uml</w:t>
                </w:r>
              </w:p>
            </w:tc>
            <w:tc>
              <w:p>
                <w:r>
                  <w:t>revokable.md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Revokable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2"/>
        <w:jc w:val="center"/>
      </w:pPr>
      <w:r>
        <w:t xml:space="preserve">Offsetable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Offsetable Supply Control</w:t>
            </w:r>
          </w:p>
          <w:tcPr>
            <w:tcW w:w="70" w:type="pct"/>
          </w:tcPr>
        </w:tc>
      </w:tr>
      <w:tr>
        <w:tc>
          <w:p>
            <w:r>
              <w:t>Id:</w:t>
            </w:r>
          </w:p>
          <w:tcPr>
            <w:tcW w:w="30" w:type="pct"/>
          </w:tcPr>
        </w:tc>
        <w:tc>
          <w:p>
            <w:r>
              <w:t>d7f7aa2c-0488-482c-afd9-74f631e8a113</w:t>
            </w:r>
          </w:p>
          <w:tcPr>
            <w:tcW w:w="70" w:type="pct"/>
          </w:tcPr>
        </w:tc>
      </w:tr>
      <w:tr>
        <w:tc>
          <w:p>
            <w:r>
              <w:t>Visual:</w:t>
            </w:r>
          </w:p>
          <w:tcPr>
            <w:tcW w:w="30" w:type="pct"/>
          </w:tcPr>
        </w:tc>
        <w:tc>
          <w:p>
            <w:r>
              <w:t>&lt;i&gt;OSC&lt;/i&gt;</w:t>
            </w:r>
          </w:p>
          <w:tcPr>
            <w:tcW w:w="70" w:type="pct"/>
          </w:tcPr>
        </w:tc>
      </w:tr>
      <w:tr>
        <w:tc>
          <w:p>
            <w:r>
              <w:t>Tooling:</w:t>
            </w:r>
          </w:p>
          <w:tcPr>
            <w:tcW w:w="30" w:type="pct"/>
          </w:tcPr>
        </w:tc>
        <w:tc>
          <w:p>
            <w:r>
              <w:t>OSC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Issuers, that will be allowed to invoke the Mintable behavior. Accounts can be added to the role and will be able to mint tokens in the class. The owner of an instance can offset the token which burns or retires the token, but requires the the Id of the item being offset be supplied to be successfully be offset. This provides correlation between the two items.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Issuers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Issuers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offsetable-supply-control.proto</w:t>
                </w:r>
              </w:p>
            </w:tc>
            <w:tc>
              <w:p>
                <w:r>
                  <w:t/>
                </w:r>
              </w:p>
            </w:tc>
          </w:tr>
          <w:tr>
            <w:tc>
              <w:p>
                <w:r>
                  <w:t>Uml</w:t>
                </w:r>
              </w:p>
            </w:tc>
            <w:tc>
              <w:p>
                <w:r>
                  <w:t>offsetable-supply-control.md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Core Carbon Principles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Principles</w:t>
            </w:r>
          </w:p>
          <w:tcPr>
            <w:tcW w:w="70" w:type="pct"/>
          </w:tcPr>
        </w:tc>
      </w:tr>
      <w:tr>
        <w:tc>
          <w:p>
            <w:r>
              <w:t>Id:</w:t>
            </w:r>
          </w:p>
          <w:tcPr>
            <w:tcW w:w="30" w:type="pct"/>
          </w:tcPr>
        </w:tc>
        <w:tc>
          <w:p>
            <w:r>
              <w:t>3b67dfe4-a22d-4e45-a7b5-69a2b00ff982</w:t>
            </w:r>
          </w:p>
          <w:tcPr>
            <w:tcW w:w="70" w:type="pct"/>
          </w:tcPr>
        </w:tc>
      </w:tr>
      <w:tr>
        <w:tc>
          <w:p>
            <w:r>
              <w:t>Visual:</w:t>
            </w:r>
          </w:p>
          <w:tcPr>
            <w:tcW w:w="30" w:type="pct"/>
          </w:tcPr>
        </w:tc>
        <w:tc>
          <w:p>
            <w:r>
              <w:t>&amp;phi;&lt;i&gt;CCP&lt;/i&gt;</w:t>
            </w:r>
          </w:p>
          <w:tcPr>
            <w:tcW w:w="70" w:type="pct"/>
          </w:tcPr>
        </w:tc>
      </w:tr>
      <w:tr>
        <w:tc>
          <w:p>
            <w:r>
              <w:t>Tooling:</w:t>
            </w:r>
          </w:p>
          <w:tcPr>
            <w:tcW w:w="30" w:type="pct"/>
          </w:tcPr>
        </w:tc>
        <w:tc>
          <w:p>
            <w:r>
              <w:t>phCCP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Core Carbon Principles as outlined in the TSVCM about carbon benefit value and the links to the verifying contract and ecological project, benefit sub-project and the claim that is the source of the asset value.</w:t>
      </w:r>
    </w:p>
    <w:p>
      <w:pPr>
        <w:pStyle w:val="Heading2"/>
        <w:jc w:val="left"/>
      </w:pPr>
      <w:r>
        <w:t>Example</w:t>
      </w:r>
    </w:p>
    <w:p>
      <w:pPr>
        <w:pStyle w:val="Normal"/>
        <w:jc w:val="left"/>
      </w:pPr>
      <w:r>
        <w:t>An ecological project produces carbon benefit claims that once verified are turned into a digital asset or token that represents the intangible value if the benefit claim, in this case a CCP Token. This can represent a widely used climate based claim, like a carbon credit or representing a reduction or a removal of carbon.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phDR</w:t>
                </w:r>
              </w:p>
            </w:tc>
            <w:tc>
              <w:p>
                <w:r>
                  <w:t>The date range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property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core-carbon-principles.proto</w:t>
                </w:r>
              </w:p>
            </w:tc>
            <w:tc>
              <w:p>
                <w:r>
                  <w:t/>
                </w:r>
              </w:p>
            </w:tc>
          </w:tr>
          <w:tr>
            <w:tc>
              <w:p>
                <w:r>
                  <w:t>Uml</w:t>
                </w:r>
              </w:p>
            </w:tc>
            <w:tc>
              <w:p>
                <w:r>
                  <w:t>core-carbon-principles.md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CoreCarbonPrinciples</w:t>
      </w:r>
    </w:p>
    <w:p>
      <w:pPr>
        <w:pStyle w:val="Normal"/>
        <w:jc w:val="left"/>
      </w:pPr>
      <w:r>
        <w:t>Property Value Description: Contains the values for the 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Specification Property Set</w:t>
      </w:r>
    </w:p>
    <w:p>
      <w:pPr>
        <w:pStyle w:val="Heading2"/>
        <w:jc w:val="center"/>
      </w:pPr>
      <w:r>
        <w:t xml:space="preserve">Core Carbon Attributes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Attributes</w:t>
            </w:r>
          </w:p>
          <w:tcPr>
            <w:tcW w:w="70" w:type="pct"/>
          </w:tcPr>
        </w:tc>
      </w:tr>
      <w:tr>
        <w:tc>
          <w:p>
            <w:r>
              <w:t>Id:</w:t>
            </w:r>
          </w:p>
          <w:tcPr>
            <w:tcW w:w="30" w:type="pct"/>
          </w:tcPr>
        </w:tc>
        <w:tc>
          <w:p>
            <w:r>
              <w:t>7c116214-ba38-4f85-99b2-0a9017f8a33f</w:t>
            </w:r>
          </w:p>
          <w:tcPr>
            <w:tcW w:w="70" w:type="pct"/>
          </w:tcPr>
        </w:tc>
      </w:tr>
      <w:tr>
        <w:tc>
          <w:p>
            <w:r>
              <w:t>Visual:</w:t>
            </w:r>
          </w:p>
          <w:tcPr>
            <w:tcW w:w="30" w:type="pct"/>
          </w:tcPr>
        </w:tc>
        <w:tc>
          <w:p>
            <w:r>
              <w:t>&amp;phi;&lt;i&gt;CCA&lt;/i&gt;</w:t>
            </w:r>
          </w:p>
          <w:tcPr>
            <w:tcW w:w="70" w:type="pct"/>
          </w:tcPr>
        </w:tc>
      </w:tr>
      <w:tr>
        <w:tc>
          <w:p>
            <w:r>
              <w:t>Tooling:</w:t>
            </w:r>
          </w:p>
          <w:tcPr>
            <w:tcW w:w="30" w:type="pct"/>
          </w:tcPr>
        </w:tc>
        <w:tc>
          <w:p>
            <w:r>
              <w:t>phCCA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removal of net atmospheric carbon dioxide emissions on a lifecycle basis with conservative assumptions regarding uncertainty.</w:t>
      </w:r>
    </w:p>
    <w:p>
      <w:pPr>
        <w:pStyle w:val="Heading2"/>
        <w:jc w:val="left"/>
      </w:pPr>
      <w:r>
        <w:t>Example</w:t>
      </w:r>
    </w:p>
    <w:p>
      <w:pPr>
        <w:pStyle w:val="Normal"/>
        <w:jc w:val="left"/>
      </w:pPr>
      <w:r>
        <w:t>A GHG/Carbon removal or sequestration activity can differ between ecological projects as to certain net-negativity attributes:  Additionality - The principle that a project activity is additional if the resulting emission reductions are lower than what would have happened in the absence of the activity; Durability - The term in years of how long the CO2 will be removed from the atmosphere, compared with the risk of CO2 reversion to the atmosphere before that term elapses; Leakage -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 Clear Removals - Are either clearly 100% removals (afforestation-reforestation) or are ex-post verified as removal volumes according to a published MRV methodology.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phDUR</w:t>
                </w:r>
              </w:p>
            </w:tc>
            <w:tc>
              <w:p>
                <w:r>
                  <w:t>Durability if a removal.</w:t>
                </w:r>
              </w:p>
            </w:tc>
          </w:tr>
          <w:tr>
            <w:tc>
              <w:p>
                <w:r>
                  <w:t>PropertySet</w:t>
                </w:r>
              </w:p>
            </w:tc>
            <w:tc>
              <w:p>
                <w:r>
                  <w:t>phCCACS</w:t>
                </w:r>
              </w:p>
            </w:tc>
            <w:tc>
              <w:p>
                <w:r>
                  <w:t>Classification for the Core Carbon Attributes.</w:t>
                </w:r>
              </w:p>
            </w:tc>
          </w:tr>
          <w:tr>
            <w:tc>
              <w:p>
                <w:r>
                  <w:t>PropertySet</w:t>
                </w:r>
              </w:p>
            </w:tc>
            <w:tc>
              <w:p>
                <w:r>
                  <w:t>phRPLC</w:t>
                </w:r>
              </w:p>
            </w:tc>
            <w:tc>
              <w:p>
                <w:r>
                  <w:t>Replacement Property Set for the Core Carbon Principles.</w:t>
                </w:r>
              </w:p>
            </w:tc>
          </w:tr>
          <w:tr>
            <w:tc>
              <w:p>
                <w:r>
                  <w:t>PropertySet</w:t>
                </w:r>
              </w:p>
            </w:tc>
            <w:tc>
              <w:p>
                <w:r>
                  <w:t>phCB</w:t>
                </w:r>
              </w:p>
            </w:tc>
            <w:tc>
              <w:p>
                <w:r>
                  <w:t>The Co-benefit property set is included in this property set.</w:t>
                </w:r>
              </w:p>
            </w:tc>
          </w:tr>
          <w:tr>
            <w:tc>
              <w:p>
                <w:r>
                  <w:t>PropertySet</w:t>
                </w:r>
              </w:p>
            </w:tc>
            <w:tc>
              <w:p>
                <w:r>
                  <w:t>phPAC</w:t>
                </w:r>
              </w:p>
            </w:tc>
            <w:tc>
              <w:p>
                <w:r>
                  <w:t>Paris Accord Compliance Property Set for this CCP Token.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scores.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core-carbon-attributes.proto</w:t>
                </w:r>
              </w:p>
            </w:tc>
            <w:tc>
              <w:p>
                <w:r>
                  <w:t/>
                </w:r>
              </w:p>
            </w:tc>
          </w:tr>
          <w:tr>
            <w:tc>
              <w:p>
                <w:r>
                  <w:t>Uml</w:t>
                </w:r>
              </w:p>
            </w:tc>
            <w:tc>
              <w:p>
                <w:r>
                  <w:t>core-carbon-attributes.md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Specification (Sub) Property Set</w:t>
      </w:r>
    </w:p>
    <w:p>
      <w:pPr>
        <w:pStyle w:val="Heading2"/>
        <w:jc w:val="center"/>
      </w:pPr>
      <w:r>
        <w:t xml:space="preserve">Durability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Durability</w:t>
            </w:r>
          </w:p>
          <w:tcPr>
            <w:tcW w:w="70" w:type="pct"/>
          </w:tcPr>
        </w:tc>
      </w:tr>
      <w:tr>
        <w:tc>
          <w:p>
            <w:r>
              <w:t>Id:</w:t>
            </w:r>
          </w:p>
          <w:tcPr>
            <w:tcW w:w="30" w:type="pct"/>
          </w:tcPr>
        </w:tc>
        <w:tc>
          <w:p>
            <w:r>
              <w:t>04d8de6f-08dc-4830-8f15-756bc4a12853</w:t>
            </w:r>
          </w:p>
          <w:tcPr>
            <w:tcW w:w="70" w:type="pct"/>
          </w:tcPr>
        </w:tc>
      </w:tr>
      <w:tr>
        <w:tc>
          <w:p>
            <w:r>
              <w:t>Visual:</w:t>
            </w:r>
          </w:p>
          <w:tcPr>
            <w:tcW w:w="30" w:type="pct"/>
          </w:tcPr>
        </w:tc>
        <w:tc>
          <w:p>
            <w:r>
              <w:t>&amp;phi;&lt;i&gt;DUR&lt;/i&gt;</w:t>
            </w:r>
          </w:p>
          <w:tcPr>
            <w:tcW w:w="70" w:type="pct"/>
          </w:tcPr>
        </w:tc>
      </w:tr>
      <w:tr>
        <w:tc>
          <w:p>
            <w:r>
              <w:t>Tooling:</w:t>
            </w:r>
          </w:p>
          <w:tcPr>
            <w:tcW w:w="30" w:type="pct"/>
          </w:tcPr>
        </w:tc>
        <w:tc>
          <w:p>
            <w:r>
              <w:t>phDUR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the durability or permanence of a sequestration method used to store carbon. For carbon removals, durability is a property that will have a significant impact on price. The values in this property set provides the data required to determine a carbon removals long term sequestration promises.</w:t>
      </w:r>
    </w:p>
    <w:p>
      <w:pPr>
        <w:pStyle w:val="Heading2"/>
        <w:jc w:val="left"/>
      </w:pPr>
      <w:r>
        <w:t>Example</w:t>
      </w:r>
    </w:p>
    <w:p>
      <w:pPr>
        <w:pStyle w:val="Normal"/>
        <w:jc w:val="left"/>
      </w:pPr>
      <w:r>
        <w:t>Nature based, soil, forestry, etc., carbon removals typically have a shorter term and more volatile durability, where technical solutions, DAC, etc. will typically have a longer term, stable durability.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durability.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durability.proto</w:t>
                </w:r>
              </w:p>
            </w:tc>
            <w:tc>
              <w:p>
                <w:r>
                  <w:t/>
                </w:r>
              </w:p>
            </w:tc>
          </w:tr>
          <w:tr>
            <w:tc>
              <w:p>
                <w:r>
                  <w:t>Uml</w:t>
                </w:r>
              </w:p>
            </w:tc>
            <w:tc>
              <w:p>
                <w:r>
                  <w:t>durability.md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Durability</w:t>
      </w:r>
    </w:p>
    <w:p>
      <w:pPr>
        <w:pStyle w:val="Normal"/>
        <w:jc w:val="left"/>
      </w:pPr>
      <w:r>
        <w:t>Property Value Description: Contains the values of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Specification (Sub) Property Set</w:t>
      </w:r>
    </w:p>
    <w:p>
      <w:pPr>
        <w:pStyle w:val="Heading2"/>
        <w:jc w:val="center"/>
      </w:pPr>
      <w:r>
        <w:t xml:space="preserve">Core Carbon Classification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Classification</w:t>
            </w:r>
          </w:p>
          <w:tcPr>
            <w:tcW w:w="70" w:type="pct"/>
          </w:tcPr>
        </w:tc>
      </w:tr>
      <w:tr>
        <w:tc>
          <w:p>
            <w:r>
              <w:t>Id:</w:t>
            </w:r>
          </w:p>
          <w:tcPr>
            <w:tcW w:w="30" w:type="pct"/>
          </w:tcPr>
        </w:tc>
        <w:tc>
          <w:p>
            <w:r>
              <w:t>a60326d6-399b-4128-bd99-9279283b0380</w:t>
            </w:r>
          </w:p>
          <w:tcPr>
            <w:tcW w:w="70" w:type="pct"/>
          </w:tcPr>
        </w:tc>
      </w:tr>
      <w:tr>
        <w:tc>
          <w:p>
            <w:r>
              <w:t>Visual:</w:t>
            </w:r>
          </w:p>
          <w:tcPr>
            <w:tcW w:w="30" w:type="pct"/>
          </w:tcPr>
        </w:tc>
        <w:tc>
          <w:p>
            <w:r>
              <w:t>&amp;phi;&lt;i&gt;CCACS&lt;/i&gt;</w:t>
            </w:r>
          </w:p>
          <w:tcPr>
            <w:tcW w:w="70" w:type="pct"/>
          </w:tcPr>
        </w:tc>
      </w:tr>
      <w:tr>
        <w:tc>
          <w:p>
            <w:r>
              <w:t>Tooling:</w:t>
            </w:r>
          </w:p>
          <w:tcPr>
            <w:tcW w:w="30" w:type="pct"/>
          </w:tcPr>
        </w:tc>
        <w:tc>
          <w:p>
            <w:r>
              <w:t>phCCACS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Core Carbon Classification of either a category or either a Reduction or a Removal and a method of either Natural or Technology.  For example if the classification is for a Carbon Dioxide Removal using agricultural practices, it would be categorized as a Removal using Natural methods.</w:t>
      </w:r>
    </w:p>
    <w:p>
      <w:pPr>
        <w:pStyle w:val="Heading2"/>
        <w:jc w:val="left"/>
      </w:pPr>
      <w:r>
        <w:t>Example</w:t>
      </w:r>
    </w:p>
    <w:p>
      <w:pPr>
        <w:pStyle w:val="Normal"/>
        <w:jc w:val="left"/>
      </w:pPr>
      <w:r>
        <w:t>When creating a Core Carbon Principle token, one of the attributes will be the classification to allow buyers to differentiate between CCP tokens as well as reference contracts to bundle similar assets together into a single product.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Classification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cca-classification.proto</w:t>
                </w:r>
              </w:p>
            </w:tc>
            <w:tc>
              <w:p>
                <w:r>
                  <w:t/>
                </w:r>
              </w:p>
            </w:tc>
          </w:tr>
          <w:tr>
            <w:tc>
              <w:p>
                <w:r>
                  <w:t>Uml</w:t>
                </w:r>
              </w:p>
            </w:tc>
            <w:tc>
              <w:p>
                <w:r>
                  <w:t>cca-classification.md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Classification</w:t>
      </w:r>
    </w:p>
    <w:p>
      <w:pPr>
        <w:pStyle w:val="Normal"/>
        <w:jc w:val="left"/>
      </w:pPr>
      <w:r>
        <w:t>Property Value Description: Contains the values for the CCA classification as outlined in the cca-classification.proto.</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Specification (Sub) Property Set</w:t>
      </w:r>
    </w:p>
    <w:p>
      <w:pPr>
        <w:pStyle w:val="Heading2"/>
        <w:jc w:val="center"/>
      </w:pPr>
      <w:r>
        <w:t xml:space="preserve">Replacement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Replacement</w:t>
            </w:r>
          </w:p>
          <w:tcPr>
            <w:tcW w:w="70" w:type="pct"/>
          </w:tcPr>
        </w:tc>
      </w:tr>
      <w:tr>
        <w:tc>
          <w:p>
            <w:r>
              <w:t>Id:</w:t>
            </w:r>
          </w:p>
          <w:tcPr>
            <w:tcW w:w="30" w:type="pct"/>
          </w:tcPr>
        </w:tc>
        <w:tc>
          <w:p>
            <w:r>
              <w:t>41df6a71-d7d4-441c-93e9-856307606750</w:t>
            </w:r>
          </w:p>
          <w:tcPr>
            <w:tcW w:w="70" w:type="pct"/>
          </w:tcPr>
        </w:tc>
      </w:tr>
      <w:tr>
        <w:tc>
          <w:p>
            <w:r>
              <w:t>Visual:</w:t>
            </w:r>
          </w:p>
          <w:tcPr>
            <w:tcW w:w="30" w:type="pct"/>
          </w:tcPr>
        </w:tc>
        <w:tc>
          <w:p>
            <w:r>
              <w:t>&amp;phi;&lt;i&gt;RPLC&lt;/i&gt;</w:t>
            </w:r>
          </w:p>
          <w:tcPr>
            <w:tcW w:w="70" w:type="pct"/>
          </w:tcPr>
        </w:tc>
      </w:tr>
      <w:tr>
        <w:tc>
          <w:p>
            <w:r>
              <w:t>Tooling:</w:t>
            </w:r>
          </w:p>
          <w:tcPr>
            <w:tcW w:w="30" w:type="pct"/>
          </w:tcPr>
        </w:tc>
        <w:tc>
          <w:p>
            <w:r>
              <w:t>phRPLC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is used to indicate that this token replaces a retired ecological benefit credit to support adjustments after issuance. For example, a benefit token make be issued in a quantity of 3 and at a future date it is determined for some reason to have actually been a value of 2. To support making this adjustment, the initial benefit token of 3 should be revoked/retired and a new or existing token can be issued or used and indicated as a replacement by setting the replacement values in this property set. This property records the Id of the token being replaced, the date of replacement and a free text field to record the reason for replacement.</w:t>
      </w:r>
    </w:p>
    <w:p>
      <w:pPr>
        <w:pStyle w:val="Heading2"/>
        <w:jc w:val="left"/>
      </w:pPr>
      <w:r>
        <w:t>Example</w:t>
      </w:r>
    </w:p>
    <w:p>
      <w:pPr>
        <w:pStyle w:val="Normal"/>
        <w:jc w:val="left"/>
      </w:pPr>
      <w:r>
        <w:t>For example, a measurement of CO2e removal through forestation can be issued with an amount, but need to be adjusted after a forest fire destroys a percentage of the forest requiring a decrease in the removal amount. The issuer of the initial token can retire, the climate accounting will need to adjust the effective emissions accordingly.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v</w:t>
                </w:r>
              </w:p>
            </w:tc>
            <w:tc>
              <w:p>
                <w:r>
                  <w:t>Requires revokable to support replacement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set the replacement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replacement.proto</w:t>
                </w:r>
              </w:p>
            </w:tc>
            <w:tc>
              <w:p>
                <w:r>
                  <w:t/>
                </w:r>
              </w:p>
            </w:tc>
          </w:tr>
          <w:tr>
            <w:tc>
              <w:p>
                <w:r>
                  <w:t>Uml</w:t>
                </w:r>
              </w:p>
            </w:tc>
            <w:tc>
              <w:p>
                <w:r>
                  <w:t>replacement.md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Replacement</w:t>
      </w:r>
    </w:p>
    <w:p>
      <w:pPr>
        <w:pStyle w:val="Normal"/>
        <w:jc w:val="left"/>
      </w:pPr>
      <w:r>
        <w:t>Property Value Description: Contains the Id, Date and notes about the replacement.</w:t>
      </w:r>
    </w:p>
    <w:p>
      <w:pPr>
        <w:pStyle w:val="Normal"/>
        <w:jc w:val="left"/>
      </w:pPr>
      <w:r>
        <w:t>Template Value is set to: </w:t>
      </w:r>
    </w:p>
    <w:p>
      <w:pPr>
        <w:pStyle w:val="Heading2"/>
        <w:jc w:val="left"/>
      </w:pPr>
      <w:r>
        <w:t>Replacement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Specification (Sub) Property Set</w:t>
      </w:r>
    </w:p>
    <w:p>
      <w:pPr>
        <w:pStyle w:val="Heading2"/>
        <w:jc w:val="center"/>
      </w:pPr>
      <w:r>
        <w:t xml:space="preserve">Co-benefit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Co-benefit</w:t>
            </w:r>
          </w:p>
          <w:tcPr>
            <w:tcW w:w="70" w:type="pct"/>
          </w:tcPr>
        </w:tc>
      </w:tr>
      <w:tr>
        <w:tc>
          <w:p>
            <w:r>
              <w:t>Id:</w:t>
            </w:r>
          </w:p>
          <w:tcPr>
            <w:tcW w:w="30" w:type="pct"/>
          </w:tcPr>
        </w:tc>
        <w:tc>
          <w:p>
            <w:r>
              <w:t>5a8c69f6-f3c5-4bc8-82d0-d3fbf90b59c7</w:t>
            </w:r>
          </w:p>
          <w:tcPr>
            <w:tcW w:w="70" w:type="pct"/>
          </w:tcPr>
        </w:tc>
      </w:tr>
      <w:tr>
        <w:tc>
          <w:p>
            <w:r>
              <w:t>Visual:</w:t>
            </w:r>
          </w:p>
          <w:tcPr>
            <w:tcW w:w="30" w:type="pct"/>
          </w:tcPr>
        </w:tc>
        <w:tc>
          <w:p>
            <w:r>
              <w:t>&amp;phi;&lt;i&gt;CB&lt;/i&gt;</w:t>
            </w:r>
          </w:p>
          <w:tcPr>
            <w:tcW w:w="70" w:type="pct"/>
          </w:tcPr>
        </w:tc>
      </w:tr>
      <w:tr>
        <w:tc>
          <w:p>
            <w:r>
              <w:t>Tooling:</w:t>
            </w:r>
          </w:p>
          <w:tcPr>
            <w:tcW w:w="30" w:type="pct"/>
          </w:tcPr>
        </w:tc>
        <w:tc>
          <w:p>
            <w:r>
              <w:t>phCB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pPr>
        <w:pStyle w:val="Heading2"/>
        <w:jc w:val="left"/>
      </w:pPr>
      <w:r>
        <w:t>Example</w:t>
      </w:r>
    </w:p>
    <w:p>
      <w:pPr>
        <w:pStyle w:val="Normal"/>
        <w:jc w:val="left"/>
      </w:pPr>
      <w:r>
        <w:t>Reliable electricity supplies can enable new economic activities to develop (i.e. tourism, village industries), provide greater access to educational resources and improve village life.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or set a CoBenefit.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co-benefit.proto</w:t>
                </w:r>
              </w:p>
            </w:tc>
            <w:tc>
              <w:p>
                <w:r>
                  <w:t/>
                </w:r>
              </w:p>
            </w:tc>
          </w:tr>
          <w:tr>
            <w:tc>
              <w:p>
                <w:r>
                  <w:t>Uml</w:t>
                </w:r>
              </w:p>
            </w:tc>
            <w:tc>
              <w:p>
                <w:r>
                  <w:t>co-benefit.md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CoBenefits</w:t>
      </w:r>
    </w:p>
    <w:p>
      <w:pPr>
        <w:pStyle w:val="Normal"/>
        <w:jc w:val="left"/>
      </w:pPr>
      <w:r>
        <w:t>Property Value Description: Contains a list or collection of Co-benefit.</w:t>
      </w:r>
    </w:p>
    <w:p>
      <w:pPr>
        <w:pStyle w:val="Normal"/>
        <w:jc w:val="left"/>
      </w:pPr>
      <w:r>
        <w:t>Template Value is set to: </w:t>
      </w:r>
    </w:p>
    <w:p>
      <w:pPr>
        <w:pStyle w:val="Heading2"/>
        <w:jc w:val="left"/>
      </w:pPr>
      <w:r>
        <w:t>CoBenefits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Specification (Sub) Property Set</w:t>
      </w:r>
    </w:p>
    <w:p>
      <w:pPr>
        <w:pStyle w:val="Heading2"/>
        <w:jc w:val="center"/>
      </w:pPr>
      <w:r>
        <w:t xml:space="preserve">Paris Agreement Compliance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Paris Agreement Compliance</w:t>
            </w:r>
          </w:p>
          <w:tcPr>
            <w:tcW w:w="70" w:type="pct"/>
          </w:tcPr>
        </w:tc>
      </w:tr>
      <w:tr>
        <w:tc>
          <w:p>
            <w:r>
              <w:t>Id:</w:t>
            </w:r>
          </w:p>
          <w:tcPr>
            <w:tcW w:w="30" w:type="pct"/>
          </w:tcPr>
        </w:tc>
        <w:tc>
          <w:p>
            <w:r>
              <w:t>f0ac1971-57dc-47b3-beeb-c1b9433457a2</w:t>
            </w:r>
          </w:p>
          <w:tcPr>
            <w:tcW w:w="70" w:type="pct"/>
          </w:tcPr>
        </w:tc>
      </w:tr>
      <w:tr>
        <w:tc>
          <w:p>
            <w:r>
              <w:t>Visual:</w:t>
            </w:r>
          </w:p>
          <w:tcPr>
            <w:tcW w:w="30" w:type="pct"/>
          </w:tcPr>
        </w:tc>
        <w:tc>
          <w:p>
            <w:r>
              <w:t>&amp;phi;&lt;i&gt;PAC&lt;/i&gt;</w:t>
            </w:r>
          </w:p>
          <w:tcPr>
            <w:tcW w:w="70" w:type="pct"/>
          </w:tcPr>
        </w:tc>
      </w:tr>
      <w:tr>
        <w:tc>
          <w:p>
            <w:r>
              <w:t>Tooling:</w:t>
            </w:r>
          </w:p>
          <w:tcPr>
            <w:tcW w:w="30" w:type="pct"/>
          </w:tcPr>
        </w:tc>
        <w:tc>
          <w:p>
            <w:r>
              <w:t>phPAC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labels or values required to determine the status of a carbon credit's compliance with various Paris Agreement regulations. Among them is the concept of Corresponding Adjustments (CAs), an accounting approach designed to ensure that emission reductions are counted only once in the context of the agreement.</w:t>
      </w:r>
    </w:p>
    <w:p>
      <w:pPr>
        <w:pStyle w:val="Heading2"/>
        <w:jc w:val="left"/>
      </w:pPr>
      <w:r>
        <w:t>Example</w:t>
      </w:r>
    </w:p>
    <w:p>
      <w:pPr>
        <w:pStyle w:val="Normal"/>
        <w:jc w:val="left"/>
      </w:pPr>
      <w:r>
        <w:t>Some buyers of carbon credits will want to continue to claim emission reductions and removals against their own footprint or the footprint of their products. These buyers would have a choice, they could choose to purchase and retire credits with CAs, noting that this would preclude the credits from contributing to the host country’s NDC. Of companies could choose to purchase credits without CAs, precisely because these companies want to contribute to the host country’s NDC. Another alternative might entail companies directly financing units that contribute to the NDC of the host country without claiming an offset or using the unit for neutrality purposes, which is possible with carbon credits that do not carry CAs.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PAC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paris-agreement-compliance.proto</w:t>
                </w:r>
              </w:p>
            </w:tc>
            <w:tc>
              <w:p>
                <w:r>
                  <w:t/>
                </w:r>
              </w:p>
            </w:tc>
          </w:tr>
          <w:tr>
            <w:tc>
              <w:p>
                <w:r>
                  <w:t>Uml</w:t>
                </w:r>
              </w:p>
            </w:tc>
            <w:tc>
              <w:p>
                <w:r>
                  <w:t>paris-agreement-compliance.md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PACompliance</w:t>
      </w:r>
    </w:p>
    <w:p>
      <w:pPr>
        <w:pStyle w:val="Normal"/>
        <w:jc w:val="left"/>
      </w:pPr>
      <w:r>
        <w:t>Property Value Description: Contains the values for the properties.</w:t>
      </w:r>
    </w:p>
    <w:p>
      <w:pPr>
        <w:pStyle w:val="Normal"/>
        <w:jc w:val="left"/>
      </w:pPr>
      <w:r>
        <w:t>Template Value is set to: </w:t>
      </w:r>
    </w:p>
    <w:p>
      <w:pPr>
        <w:pStyle w:val="Heading2"/>
        <w:jc w:val="left"/>
      </w:pPr>
      <w:r>
        <w:t>PACompliance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body>
</w:document>
</file>

<file path=word/footer1.xml><?xml version="1.0" encoding="utf-8"?>
<w:ftr xmlns:w="http://schemas.openxmlformats.org/wordprocessingml/2006/main">
  <w:p>
    <w:pPr>
      <w:pStyle w:val="Footer"/>
    </w:pPr>
    <w:r>
      <w:t>Core-Carbon-Principles - ff54e1f0072ca8c9b926db3589df0467aac80ea4aa9f5c26ca4b3589e8c632c9</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defd050770a74bfd" /><Relationship Type="http://schemas.openxmlformats.org/officeDocument/2006/relationships/numbering" Target="/word/numbering.xml" Id="NumberingDefinitionsPart001" /><Relationship Type="http://schemas.openxmlformats.org/officeDocument/2006/relationships/header" Target="/word/header1.xml" Id="Ra29cd9e4c5d341de" /><Relationship Type="http://schemas.openxmlformats.org/officeDocument/2006/relationships/footer" Target="/word/footer1.xml" Id="Ra49701d6a53243d0"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