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f0e3654a114c5f" /></Relationships>
</file>

<file path=word/document.xml><?xml version="1.0" encoding="utf-8"?>
<w:document xmlns:w="http://schemas.openxmlformats.org/wordprocessingml/2006/main">
  <w:body>
    <w:footerReference xmlns:r="http://schemas.openxmlformats.org/officeDocument/2006/relationships" r:id="R980e0b1404564848"/>
    <w:headerReference xmlns:r="http://schemas.openxmlformats.org/officeDocument/2006/relationships" r:id="R86ff91dd819d484c"/>
    <w:p>
      <w:pPr>
        <w:pStyle w:val="Title"/>
        <w:jc w:val="center"/>
      </w:pPr>
      <w:r>
        <w:t xml:space="preserve">Core-Carbon-Principles</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[tF’{d,t,e,v,g,OSC}+phCCP+phCCA]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Unique Fractional Fungible, to 2 decimal places with Offsetable Supply Control with Revoke and Replacement, Core Carbon Principles and Core Carbon Attributes.  It is a token where 1 token equals 1 mtCO2e and can be issued in any amount. A token instance can be minted if the requesting party is in the minters role. This template contains the Replacement, Core Carbon Principles and Core Carbon Attributes property sets as well.</w:t>
      </w:r>
    </w:p>
    <w:p>
      <w:pPr>
        <w:pStyle w:val="Heading3"/>
        <w:jc w:val="left"/>
      </w:pPr>
      <w:r>
        <w:t>Example</w:t>
      </w:r>
    </w:p>
    <w:p>
      <w:pPr>
        <w:pStyle w:val="Normal"/>
        <w:jc w:val="left"/>
      </w:pPr>
      <w:r>
        <w:t>Typically used to represent a token based on the TSVCM Core Carbon Principles or CCP to be a common representation of a carbon credit designated for use in voluntary markets. When accompanied with additional attributes, credits can be differentiated from their CO2e face value to include details as to reduction vs. removal, project location, durability, etc. These CCP tokens can then be bundled together based on their similar attribute values into 'reference contracts' to be traded in larger lots.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Core-Carbon-Principles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Revokable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Core-Carbon-Principles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GetDecimalsRequest</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AllowanceRequest</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ApproveRequest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Normal"/>
        <w:jc w:val="left"/>
      </w:pPr>
      <w:r>
        <w:t>Binding Is Influenced by Transferable's Invocation TransferFrom</w:t>
      </w:r>
      <w:r>
        <w:t>Transferable's Invocation TransferFrom Intercepts this behavior's invocation.'</w:t>
      </w:r>
    </w:p>
    <w:p>
      <w:pPr>
        <w:pStyle w:val="Heading4"/>
        <w:jc w:val="left"/>
      </w:pPr>
      <w:r>
        <w:t>TransferFrom</w:t>
      </w:r>
    </w:p>
    <w:p>
      <w:pPr>
        <w:pStyle w:val="Normal"/>
        <w:jc w:val="left"/>
      </w:pPr>
      <w:r>
        <w:t>Id: 516b4e2f-4a14-4c4f-a6f2-1419d4af35c6</w:t>
      </w:r>
    </w:p>
    <w:p>
      <w:pPr>
        <w:pStyle w:val="Normal"/>
        <w:jc w:val="left"/>
      </w:pPr>
      <w:r>
        <w:t>Description: &gt;A transfer request is issued by the encumbering entity that can issue settlement instructions to invoke a transfer from the owner of the token to the party or account provided in the To field of the request. This invocation is influences a call to Remove the Encumberance and requires a check on the Role of the caller as the sole encumber.</w:t>
      </w:r>
    </w:p>
    <w:p>
      <w:pPr>
        <w:pStyle w:val="Heading5"/>
        <w:jc w:val="left"/>
      </w:pPr>
      <w:r>
        <w:t>Request Message:</w:t>
      </w:r>
    </w:p>
    <w:p>
      <w:pPr>
        <w:pStyle w:val="Normal"/>
        <w:jc w:val="left"/>
      </w:pPr>
      <w:r>
        <w:t>TransferFromRequest</w:t>
      </w:r>
    </w:p>
    <w:p>
      <w:pPr>
        <w:pStyle w:val="Normal"/>
        <w:jc w:val="left"/>
      </w:pPr>
      <w:r>
        <w:t>Description: Settlement details from the encumbrancer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Encumberable's Invocation </w:t>
      </w:r>
      <w:r>
        <w:t>Encumberable's Invocation  Intercepts this behavior's invocation.'</w:t>
      </w:r>
    </w:p>
    <w:p>
      <w:pPr>
        <w:pStyle w:val="Heading4"/>
        <w:jc w:val="left"/>
      </w:pPr>
      <w:r>
        <w:t>Encumbered</w:t>
      </w:r>
    </w:p>
    <w:p>
      <w:pPr>
        <w:pStyle w:val="Normal"/>
        <w:jc w:val="left"/>
      </w:pPr>
      <w:r>
        <w:t>Id: f35cdfee-d2f4-4a01-bf9b-33774b5df241</w:t>
      </w:r>
    </w:p>
    <w:p>
      <w:pPr>
        <w:pStyle w:val="Normal"/>
        <w:jc w:val="left"/>
      </w:pPr>
      <w:r>
        <w:t>Description: Check to see if the token has any encumbrances and if so, prevent transfer.</w:t>
      </w:r>
    </w:p>
    <w:p>
      <w:pPr>
        <w:pStyle w:val="Heading5"/>
        <w:jc w:val="left"/>
      </w:pPr>
      <w:r>
        <w:t>Request Message:</w:t>
      </w:r>
    </w:p>
    <w:p>
      <w:pPr>
        <w:pStyle w:val="Normal"/>
        <w:jc w:val="left"/>
      </w:pPr>
      <w:r>
        <w:t>GetEncumberedRequest</w:t>
      </w:r>
    </w:p>
    <w:p>
      <w:pPr>
        <w:pStyle w:val="Normal"/>
        <w:jc w:val="left"/>
      </w:pPr>
      <w:r>
        <w:t>Description: Checking the Encumbered value - true or false.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
                </w:r>
              </w:p>
            </w:tc>
            <w:tc>
              <w:p>
                <w:r>
                  <w:t/>
                </w:r>
              </w:p>
            </w:tc>
          </w:tr>
        </w:tbl>
      </w:r>
    </w:p>
    <w:p>
      <w:pPr>
        <w:pStyle w:val="Heading5"/>
        <w:jc w:val="left"/>
      </w:pPr>
      <w:r>
        <w:t>Response Message</w:t>
      </w:r>
    </w:p>
    <w:p>
      <w:pPr>
        <w:pStyle w:val="Normal"/>
        <w:jc w:val="left"/>
      </w:pPr>
      <w:r>
        <w:t>True/False</w:t>
      </w:r>
    </w:p>
    <w:p>
      <w:pPr>
        <w:pStyle w:val="Normal"/>
        <w:jc w:val="left"/>
      </w:pPr>
      <w:r>
        <w:t>Description: Respond true if the token is encumbered, false if not.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True/False</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phDUR</w:t>
                </w:r>
              </w:p>
            </w:tc>
            <w:tc>
              <w:p>
                <w:r>
                  <w:t>Durability if a removal.</w:t>
                </w:r>
              </w:p>
            </w:tc>
          </w:tr>
          <w:tr>
            <w:tc>
              <w:p>
                <w:r>
                  <w:t>PropertySet</w:t>
                </w:r>
              </w:p>
            </w:tc>
            <w:tc>
              <w:p>
                <w:r>
                  <w:t>phCCACS</w:t>
                </w:r>
              </w:p>
            </w:tc>
            <w:tc>
              <w:p>
                <w:r>
                  <w:t>Classification for the Core Carbon Attributes.</w:t>
                </w:r>
              </w:p>
            </w:tc>
          </w:tr>
          <w:tr>
            <w:tc>
              <w:p>
                <w:r>
                  <w:t>PropertySet</w:t>
                </w:r>
              </w:p>
            </w:tc>
            <w:tc>
              <w:p>
                <w:r>
                  <w:t>phRPLC</w:t>
                </w:r>
              </w:p>
            </w:tc>
            <w:tc>
              <w:p>
                <w:r>
                  <w:t>Replacement Property Set for the Core Carbon Principles.</w:t>
                </w:r>
              </w:p>
            </w:tc>
          </w:tr>
          <w:tr>
            <w:tc>
              <w:p>
                <w:r>
                  <w:t>PropertySet</w:t>
                </w:r>
              </w:p>
            </w:tc>
            <w:tc>
              <w:p>
                <w:r>
                  <w:t>phCB</w:t>
                </w:r>
              </w:p>
            </w:tc>
            <w:tc>
              <w:p>
                <w:r>
                  <w:t>The Co-benefit property set is included in this property set.</w:t>
                </w:r>
              </w:p>
            </w:tc>
          </w:tr>
          <w:tr>
            <w:tc>
              <w:p>
                <w:r>
                  <w:t>PropertySet</w:t>
                </w:r>
              </w:p>
            </w:tc>
            <w:tc>
              <w:p>
                <w:r>
                  <w:t>phPAC</w:t>
                </w:r>
              </w:p>
            </w:tc>
            <w:tc>
              <w:p>
                <w:r>
                  <w:t>Paris Accord Compliance Property Set for this CCP Token.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Durability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Durability</w:t>
            </w:r>
          </w:p>
          <w:tcPr>
            <w:tcW w:w="70" w:type="pct"/>
          </w:tcPr>
        </w:tc>
      </w:tr>
      <w:tr>
        <w:tc>
          <w:p>
            <w:r>
              <w:t>Id:</w:t>
            </w:r>
          </w:p>
          <w:tcPr>
            <w:tcW w:w="30" w:type="pct"/>
          </w:tcPr>
        </w:tc>
        <w:tc>
          <w:p>
            <w:r>
              <w:t>04d8de6f-08dc-4830-8f15-756bc4a12853</w:t>
            </w:r>
          </w:p>
          <w:tcPr>
            <w:tcW w:w="70" w:type="pct"/>
          </w:tcPr>
        </w:tc>
      </w:tr>
      <w:tr>
        <w:tc>
          <w:p>
            <w:r>
              <w:t>Visual:</w:t>
            </w:r>
          </w:p>
          <w:tcPr>
            <w:tcW w:w="30" w:type="pct"/>
          </w:tcPr>
        </w:tc>
        <w:tc>
          <w:p>
            <w:r>
              <w:t>&amp;phi;&lt;i&gt;DUR&lt;/i&gt;</w:t>
            </w:r>
          </w:p>
          <w:tcPr>
            <w:tcW w:w="70" w:type="pct"/>
          </w:tcPr>
        </w:tc>
      </w:tr>
      <w:tr>
        <w:tc>
          <w:p>
            <w:r>
              <w:t>Tooling:</w:t>
            </w:r>
          </w:p>
          <w:tcPr>
            <w:tcW w:w="30" w:type="pct"/>
          </w:tcPr>
        </w:tc>
        <w:tc>
          <w:p>
            <w:r>
              <w:t>phDUR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the durability or permanence of a sequestration method used to store carbon. For carbon removals, durability is a property that will have a significant impact on price. The values in this property set provides the data required to determine a carbon removals long term sequestration promises.</w:t>
      </w:r>
    </w:p>
    <w:p>
      <w:pPr>
        <w:pStyle w:val="Heading2"/>
        <w:jc w:val="left"/>
      </w:pPr>
      <w:r>
        <w:t>Example</w:t>
      </w:r>
    </w:p>
    <w:p>
      <w:pPr>
        <w:pStyle w:val="Normal"/>
        <w:jc w:val="left"/>
      </w:pPr>
      <w:r>
        <w:t>Nature based, soil, forestry, etc., carbon removals typically have a shorter term and more volatile durability, where technical solutions, DAC, etc. will typically have a longer term, stable durability.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durability.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durability.proto</w:t>
                </w:r>
              </w:p>
            </w:tc>
            <w:tc>
              <w:p>
                <w:r>
                  <w:t/>
                </w:r>
              </w:p>
            </w:tc>
          </w:tr>
          <w:tr>
            <w:tc>
              <w:p>
                <w:r>
                  <w:t>Uml</w:t>
                </w:r>
              </w:p>
            </w:tc>
            <w:tc>
              <w:p>
                <w:r>
                  <w:t>durability.md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Durability</w:t>
      </w:r>
    </w:p>
    <w:p>
      <w:pPr>
        <w:pStyle w:val="Normal"/>
        <w:jc w:val="left"/>
      </w:pPr>
      <w:r>
        <w:t>Property Value Description: Contains the values of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or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Core-Carbon-Principles - b8a82c1479a813454aaa204faeaa04ae5ebe7338fcec9055830b018cb811398c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8aa29da9a6847f9" /><Relationship Type="http://schemas.openxmlformats.org/officeDocument/2006/relationships/numbering" Target="/word/numbering.xml" Id="NumberingDefinitionsPart001" /><Relationship Type="http://schemas.openxmlformats.org/officeDocument/2006/relationships/header" Target="/word/header1.xml" Id="R86ff91dd819d484c" /><Relationship Type="http://schemas.openxmlformats.org/officeDocument/2006/relationships/footer" Target="/word/footer1.xml" Id="R980e0b140456484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