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94e004a221a4a94" /></Relationships>
</file>

<file path=word/document.xml><?xml version="1.0" encoding="utf-8"?>
<w:document xmlns:w="http://schemas.openxmlformats.org/wordprocessingml/2006/main">
  <w:body>
    <w:footerReference xmlns:r="http://schemas.openxmlformats.org/officeDocument/2006/relationships" r:id="R3ee20fd4c0eb4a85"/>
    <w:headerReference xmlns:r="http://schemas.openxmlformats.org/officeDocument/2006/relationships" r:id="Rd4d3f3758d6b4d14"/>
    <w:p>
      <w:pPr>
        <w:pStyle w:val="Title"/>
        <w:jc w:val="center"/>
      </w:pPr>
      <w:r>
        <w:t xml:space="preserve">LearningToken2</w:t>
      </w:r>
    </w:p>
    <w:p>
      <w:pPr>
        <w:pStyle w:val="Heading3"/>
        <w:jc w:val="center"/>
      </w:pPr>
      <w:r>
        <w:t>Taxonomy Formula: [tF{~d,m,a,r,b,t,q}+phDR+phGL]</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Fixed</w:t>
                </w:r>
              </w:p>
              <w:tcPr>
                <w:tcW w:w="15" w:type="pct"/>
              </w:tcPr>
            </w:tc>
            <w:tc>
              <w:p>
                <w:r>
                  <w:t>This token may issue an initial quantity upon creation, tokens cannot be removed or added to the supply.</w:t>
                </w:r>
              </w:p>
              <w:tcPr>
                <w:tcW w:w="65" w:type="pct"/>
              </w:tcPr>
            </w:tc>
          </w:tr>
        </w:tbl>
      </w:r>
    </w:p>
    <w:p>
      <w:pPr>
        <w:pStyle w:val="Quote"/>
        <w:jc w:val="left"/>
      </w:pPr>
      <w:r>
        <w:t>This is a Fixed Supply Fungible where the total supply is set at creation using the Quantity property of the Base token.  It is not fractional by setting the Decimals property has initialize for that. A token instance can be burned.</w:t>
      </w:r>
    </w:p>
    <w:p>
      <w:pPr>
        <w:pStyle w:val="Heading3"/>
        <w:jc w:val="left"/>
      </w:pPr>
      <w:r>
        <w:t>Example</w:t>
      </w:r>
    </w:p>
    <w:p>
      <w:pPr>
        <w:pStyle w:val="Normal"/>
        <w:jc w:val="left"/>
      </w:pPr>
      <w:r>
        <w:t>Typically used to represent an Initial Token To all the learner for creating an reward based helping community.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Helping Token</w:t>
                </w:r>
              </w:p>
            </w:tc>
            <w:tc>
              <w:p>
                <w:r>
                  <w:t>Helping Token that will be distributed to all the learner within a course. This will create a reward based helping community among learner.</w:t>
                </w:r>
              </w:p>
            </w:tc>
          </w:tr>
        </w:tbl>
      </w:r>
    </w:p>
    <w:p>
      <w:pPr>
        <w:pStyle w:val="Heading1"/>
        <w:jc w:val="left"/>
      </w:pPr>
      <w:r>
        <w:t>LearningToken2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Attestable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Redeemable</w:t>
      </w:r>
    </w:p>
    <w:p>
      <w:pPr>
        <w:pStyle w:val="Heading3"/>
        <w:jc w:val="center"/>
      </w:pPr>
      <w:r>
        <w:t>It includes the following Property Sets:</w:t>
      </w:r>
    </w:p>
    <w:p>
      <w:pPr>
        <w:numPr>
          <w:ilvl w:val="0"/>
          <w:numId w:val="2"/>
        </w:numPr>
        <w:spacing w:after="0"/>
        <w:ind w:left="720" w:hanging="360"/>
        <w:rPr>
          <w:rFonts w:ascii="Symbol" w:hAnsi="Symbol"/>
        </w:rPr>
      </w:pPr>
      <w:r>
        <w:t>Date Range</w:t>
      </w:r>
    </w:p>
    <w:p>
      <w:pPr>
        <w:numPr>
          <w:ilvl w:val="0"/>
          <w:numId w:val="2"/>
        </w:numPr>
        <w:spacing w:after="0"/>
        <w:ind w:left="720" w:hanging="360"/>
        <w:rPr>
          <w:rFonts w:ascii="Symbol" w:hAnsi="Symbol"/>
        </w:rPr>
      </w:pPr>
      <w:r>
        <w:t>Geographic Location</w:t>
      </w:r>
    </w:p>
    <w:p>
      <w:pPr>
        <w:pStyle w:val="Heading1"/>
        <w:jc w:val="center"/>
      </w:pPr>
      <w:r>
        <w:t>LearningToken2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2"/>
        <w:jc w:val="left"/>
      </w:pPr>
      <w:r>
        <w:t>Specification Behavior</w:t>
      </w:r>
    </w:p>
    <w:p>
      <w:pPr>
        <w:pStyle w:val="Heading1"/>
        <w:jc w:val="center"/>
      </w:pPr>
      <w:r>
        <w:t xml:space="preserve">Attestable</w:t>
      </w:r>
    </w:p>
    <w:p>
      <w:pPr>
        <w:pStyle w:val="Heading3"/>
        <w:jc w:val="left"/>
      </w:pPr>
      <w:r>
        <w:t>Taxonomy Symbol: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BurnFrom invocations.</w:t>
                </w:r>
              </w:p>
            </w:tc>
            <w:tc>
              <w:p>
                <w:r>
                  <w:t>r</w:t>
                </w:r>
              </w:p>
            </w:tc>
            <w:tc>
              <w:p>
                <w:r>
                  <w:t>[ ]</w:t>
                </w:r>
              </w:p>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Redeemable</w:t>
      </w:r>
    </w:p>
    <w:p>
      <w:pPr>
        <w:pStyle w:val="Heading3"/>
        <w:jc w:val="left"/>
      </w:pPr>
      <w:r>
        <w:t>Taxonomy Symbol: q</w:t>
      </w:r>
    </w:p>
    <w:p>
      <w:pPr>
        <w:pStyle w:val="Quote"/>
        <w:jc w:val="left"/>
      </w:pPr>
      <w:r>
        <w:t>This behavior only applies to unique tokens. Redeemed tokens can no longer be spent. Redeeming a token removes an asset from the business network and guarantees that it can no longer be transferred or changed. You redeem a quantity represented in a token or tokens you own. If the redemption amount is less that the quantity represented in your token submitted, the remaining quantity after redemption is deposited into a new token and returned to you as the owner. For example, if you have a token representing 100 dollars, and want to redeem 50, the redeem transaction will create a new token worth 50 dollars, and transfer another 50 to a restricted account without an owner.</w:t>
      </w:r>
    </w:p>
    <w:p>
      <w:pPr>
        <w:pStyle w:val="Heading3"/>
        <w:jc w:val="left"/>
      </w:pPr>
      <w:r>
        <w:t>Example</w:t>
      </w:r>
    </w:p>
    <w:p>
      <w:pPr>
        <w:pStyle w:val="Normal"/>
        <w:jc w:val="left"/>
      </w:pPr>
      <w:r>
        <w:t>If an item in a supply chain reaches its final destination, or a financial asset reaches its term, the token representing the asset can be redeemed since the asset no longer needs to be used.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receive a token for each barrel of oil as a refiner, you will redeem the barrel when it is refined to remove it from circulation.</w:t>
                </w:r>
              </w:p>
            </w:tc>
          </w:tr>
          <w:tr>
            <w:tc>
              <w:p>
                <w:r>
                  <w:t>Admission Ticket</w:t>
                </w:r>
              </w:p>
            </w:tc>
            <w:tc>
              <w:p>
                <w:r>
                  <w:t>A token that is a coupon or single use ticket, should be marked or torn when it is redeemed so it cannot be used again.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Redeemable</w:t>
            </w:r>
          </w:p>
          <w:tcPr>
            <w:tcW w:w="70" w:type="pct"/>
          </w:tcPr>
        </w:tc>
      </w:tr>
      <w:tr>
        <w:tc>
          <w:p>
            <w:r>
              <w:t>Id:</w:t>
            </w:r>
          </w:p>
          <w:tcPr>
            <w:tcW w:w="30" w:type="pct"/>
          </w:tcPr>
        </w:tc>
        <w:tc>
          <w:p>
            <w:r>
              <w:t>51a62eba-0e84-433a-a3f1-9b3e7f72d928</w:t>
            </w:r>
          </w:p>
          <w:tcPr>
            <w:tcW w:w="70" w:type="pct"/>
          </w:tcPr>
        </w:tc>
      </w:tr>
      <w:tr>
        <w:tc>
          <w:p>
            <w:r>
              <w:t>Visual:</w:t>
            </w:r>
          </w:p>
          <w:tcPr>
            <w:tcW w:w="30" w:type="pct"/>
          </w:tcPr>
        </w:tc>
        <w:tc>
          <w:p>
            <w:r>
              <w:t>&lt;i&gt;q&lt;/i&gt;</w:t>
            </w:r>
          </w:p>
          <w:tcPr>
            <w:tcW w:w="70" w:type="pct"/>
          </w:tcPr>
        </w:tc>
      </w:tr>
      <w:tr>
        <w:tc>
          <w:p>
            <w:r>
              <w:t>Tooling:</w:t>
            </w:r>
          </w:p>
          <w:tcPr>
            <w:tcW w:w="30" w:type="pct"/>
          </w:tcPr>
        </w:tc>
        <w:tc>
          <w:p>
            <w:r>
              <w:t>q</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Base</w:t>
                </w:r>
              </w:p>
            </w:tc>
            <w:tc>
              <w:p>
                <w:r>
                  <w:t>tF{d}</w:t>
                </w:r>
              </w:p>
            </w:tc>
            <w:tc>
              <w:p>
                <w:r>
                  <w:t>89ca6daf-5585-469e-abd1-19bc44e7a012</w:t>
                </w:r>
              </w:p>
            </w:tc>
          </w:tr>
          <w:tr>
            <w:tc>
              <w:p>
                <w:r>
                  <w:t>Base</w:t>
                </w:r>
              </w:p>
            </w:tc>
            <w:tc>
              <w:p>
                <w:r>
                  <w:t>tN{d}</w:t>
                </w:r>
              </w:p>
            </w:tc>
            <w:tc>
              <w:p>
                <w:r>
                  <w:t>8314a797-df3c-409b-835c-0e80af92714f</w:t>
                </w:r>
              </w:p>
            </w:tc>
          </w:tr>
          <w:tr>
            <w:tc>
              <w:p>
                <w:r>
                  <w:t>Base</w:t>
                </w:r>
              </w:p>
            </w:tc>
            <w:tc>
              <w:p>
                <w:r>
                  <w:t>tF{~d}</w:t>
                </w:r>
              </w:p>
            </w:tc>
            <w:tc>
              <w:p>
                <w:r>
                  <w:t>b1eacdf8-35d8-454a-b1af-92eb0b6f45d4</w:t>
                </w:r>
              </w:p>
            </w:tc>
          </w:tr>
          <w:tr>
            <w:tc>
              <w:p>
                <w:r>
                  <w:t>Base</w:t>
                </w:r>
              </w:p>
            </w:tc>
            <w:tc>
              <w:p>
                <w:r>
                  <w:t>tN{~d}</w:t>
                </w:r>
              </w:p>
            </w:tc>
            <w:tc>
              <w:p>
                <w:r>
                  <w:t>3c05a856-c901-4c30-917e-df9feed1c8de</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redeemable.proto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FabToken</w:t>
                </w:r>
              </w:p>
            </w:tc>
            <w:tc>
              <w:p>
                <w:r>
                  <w:t>ChaincodeGo</w:t>
                </w:r>
              </w:p>
            </w:tc>
            <w:tc>
              <w:p>
                <w:r>
                  <w:t>https://github.com/hyperledger/fabric/blob/v2.0.0-alpha/token/cmd/redeem.go</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Redeemable responds to these Invocations</w:t>
      </w:r>
    </w:p>
    <w:p>
      <w:pPr>
        <w:pStyle w:val="Heading4"/>
        <w:jc w:val="left"/>
      </w:pPr>
      <w:r>
        <w:t>Redeem</w:t>
      </w:r>
    </w:p>
    <w:p>
      <w:pPr>
        <w:pStyle w:val="Normal"/>
        <w:jc w:val="left"/>
      </w:pPr>
      <w:r>
        <w:t>Id: c6a0ef93-0d7d-4c68-a3b4-8f5d0bbadcbe</w:t>
      </w:r>
    </w:p>
    <w:p>
      <w:pPr>
        <w:pStyle w:val="Normal"/>
        <w:jc w:val="left"/>
      </w:pPr>
      <w:r>
        <w:t>Description: A redeem request will redeem a quantity transfer from tokens provided to an account that has no owner, removing them permanently from circulation, as long as tokens being redeemed need to belong to the transaction initiator and are unspent. Any remaining quantity will be returned as a new unspent quantity to the invoker/owner.</w:t>
      </w:r>
    </w:p>
    <w:p>
      <w:pPr>
        <w:pStyle w:val="Heading5"/>
        <w:jc w:val="left"/>
      </w:pPr>
      <w:r>
        <w:t>Request Message:</w:t>
      </w:r>
    </w:p>
    <w:p>
      <w:pPr>
        <w:pStyle w:val="Normal"/>
        <w:jc w:val="left"/>
      </w:pPr>
      <w:r>
        <w:t>RedeemRequest</w:t>
      </w:r>
    </w:p>
    <w:p>
      <w:pPr>
        <w:pStyle w:val="Normal"/>
        <w:jc w:val="left"/>
      </w:pPr>
      <w:r>
        <w:t>Description: The request includes an asset quantity to redeem and a list of tokens that have quantities that equal or exceed the quantity to redeem. Any remaining balance will be deposited into a new token with the invoker as the owner.</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TokenIds</w:t>
                </w:r>
              </w:p>
            </w:tc>
            <w:tc>
              <w:p>
                <w:r>
                  <w:t>List of Token Identifiers submitted to draw the quantity to redeem from. This data type is defined at implementation.</w:t>
                </w:r>
              </w:p>
            </w:tc>
          </w:tr>
          <w:tr>
            <w:tc>
              <w:p>
                <w:r>
                  <w:t>Quantity</w:t>
                </w:r>
              </w:p>
            </w:tc>
            <w:tc>
              <w:p>
                <w:r>
                  <w:t>Number of tokens to transfer.</w:t>
                </w:r>
              </w:p>
            </w:tc>
          </w:tr>
          <w:tr>
            <w:tc>
              <w:p>
                <w:r>
                  <w:t>Recipient</w:t>
                </w:r>
              </w:p>
            </w:tc>
            <w:tc>
              <w:p>
                <w:r>
                  <w:t>Always null, empty or to a know account that has no owner.</w:t>
                </w:r>
              </w:p>
            </w:tc>
          </w:tr>
        </w:tbl>
      </w:r>
    </w:p>
    <w:p>
      <w:pPr>
        <w:pStyle w:val="Heading5"/>
        <w:jc w:val="left"/>
      </w:pPr>
      <w:r>
        <w:t>Response Message</w:t>
      </w:r>
    </w:p>
    <w:p>
      <w:pPr>
        <w:pStyle w:val="Normal"/>
        <w:jc w:val="left"/>
      </w:pPr>
      <w:r>
        <w:t>RedeemResponse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fabricate request.</w:t>
                </w:r>
              </w:p>
            </w:tc>
          </w:tr>
        </w:tbl>
      </w:r>
    </w:p>
    <w:p>
      <w:pPr>
        <w:pStyle w:val="Normal"/>
        <w:jc w:val="center"/>
      </w:pPr>
      <w:r>
        <w:t/>
      </w:r>
    </w:p>
    <w:p>
      <w:pPr>
        <w:pStyle w:val="Heading2"/>
        <w:jc w:val="left"/>
      </w:pPr>
      <w:r>
        <w:t>Specification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Specification Property Set</w:t>
      </w:r>
    </w:p>
    <w:p>
      <w:pPr>
        <w:pStyle w:val="Heading2"/>
        <w:jc w:val="center"/>
      </w:pPr>
      <w:r>
        <w:t xml:space="preserve">Geographic Location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Geographic Location</w:t>
            </w:r>
          </w:p>
          <w:tcPr>
            <w:tcW w:w="70" w:type="pct"/>
          </w:tcPr>
        </w:tc>
      </w:tr>
      <w:tr>
        <w:tc>
          <w:p>
            <w:r>
              <w:t>Id:</w:t>
            </w:r>
          </w:p>
          <w:tcPr>
            <w:tcW w:w="30" w:type="pct"/>
          </w:tcPr>
        </w:tc>
        <w:tc>
          <w:p>
            <w:r>
              <w:t>7a768ba8-b87f-4ffe-aed6-ce0121617baf</w:t>
            </w:r>
          </w:p>
          <w:tcPr>
            <w:tcW w:w="70" w:type="pct"/>
          </w:tcPr>
        </w:tc>
      </w:tr>
      <w:tr>
        <w:tc>
          <w:p>
            <w:r>
              <w:t>Visual:</w:t>
            </w:r>
          </w:p>
          <w:tcPr>
            <w:tcW w:w="30" w:type="pct"/>
          </w:tcPr>
        </w:tc>
        <w:tc>
          <w:p>
            <w:r>
              <w:t>&amp;phi;&lt;i&gt;GL&lt;/i&gt;</w:t>
            </w:r>
          </w:p>
          <w:tcPr>
            <w:tcW w:w="70" w:type="pct"/>
          </w:tcPr>
        </w:tc>
      </w:tr>
      <w:tr>
        <w:tc>
          <w:p>
            <w:r>
              <w:t>Tooling:</w:t>
            </w:r>
          </w:p>
          <w:tcPr>
            <w:tcW w:w="30" w:type="pct"/>
          </w:tcPr>
        </w:tc>
        <w:tc>
          <w:p>
            <w:r>
              <w:t>phGL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geographic data indicating the tokens or token related location. It contains a GNSS point value for simple location and a collection of Geographic Areas for more complex projects that may have multiple parcels of land involved in the same project.</w:t>
      </w:r>
    </w:p>
    <w:p>
      <w:pPr>
        <w:pStyle w:val="Heading2"/>
        <w:jc w:val="left"/>
      </w:pPr>
      <w:r>
        <w:t>Example</w:t>
      </w:r>
    </w:p>
    <w:p>
      <w:pPr>
        <w:pStyle w:val="Normal"/>
        <w:jc w:val="left"/>
      </w:pPr>
      <w:r>
        <w:t>A climate project that can generate climate benefit claims, like a carbon credit, is based of land use, i.e. forestry or agricultural practices, the project's geographic location will need to be recorded. A token should expose this property to allow for the verification of geographic uniqueness for the project to prevent the creation of a geographic parcel from being defined twice.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Great Southern Forest</w:t>
                </w:r>
              </w:p>
            </w:tc>
            <w:tc>
              <w:p>
                <w:r>
                  <w:t>Big forest with lots of new trees being planted.</w:t>
                </w:r>
              </w:p>
            </w:tc>
          </w:tr>
        </w:tbl>
      </w:r>
    </w:p>
    <w:p>
      <w:pPr>
        <w:pStyle w:val="Heading2"/>
        <w:jc w:val="left"/>
      </w:pPr>
      <w:r>
        <w:t>Comments</w:t>
      </w:r>
    </w:p>
    <w:p>
      <w:pPr>
        <w:pStyle w:val="Normal"/>
        <w:jc w:val="left"/>
      </w:pPr>
      <w:r>
        <w:t>Not all climate project will require geographic data, or only require a simple GNSS point instead of an area defined.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Geolocation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geolocation.proto</w:t>
                </w:r>
              </w:p>
            </w:tc>
            <w:tc>
              <w:p>
                <w:r>
                  <w:t/>
                </w:r>
              </w:p>
            </w:tc>
          </w:tr>
          <w:tr>
            <w:tc>
              <w:p>
                <w:r>
                  <w:t>Uml</w:t>
                </w:r>
              </w:p>
            </w:tc>
            <w:tc>
              <w:p>
                <w:r>
                  <w:t>geolocation.md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GNSS</w:t>
      </w:r>
    </w:p>
    <w:p>
      <w:pPr>
        <w:pStyle w:val="Normal"/>
        <w:jc w:val="left"/>
      </w:pPr>
      <w:r>
        <w:t>Property Value Description: Contains a simple GNSS location, for an area this may be a center point or just one of the area points.</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3"/>
        <w:jc w:val="left"/>
      </w:pPr>
      <w:r>
        <w:t>Property Name: GeographicAreas</w:t>
      </w:r>
    </w:p>
    <w:p>
      <w:pPr>
        <w:pStyle w:val="Normal"/>
        <w:jc w:val="left"/>
      </w:pPr>
      <w:r>
        <w:t>Property Value Description: Contains the reported emission scope and it's category from pick list, see ggbsc.proto.</w:t>
      </w:r>
    </w:p>
    <w:p>
      <w:pPr>
        <w:pStyle w:val="Normal"/>
        <w:jc w:val="left"/>
      </w:pPr>
      <w:r>
        <w:t>Template Value is set to: </w:t>
      </w:r>
    </w:p>
    <w:p>
      <w:pPr>
        <w:pStyle w:val="Heading2"/>
        <w:jc w:val="left"/>
      </w:pPr>
      <w:r>
        <w:t>GeographicAreas responds to these Invocations</w:t>
      </w:r>
    </w:p>
    <w:p>
      <w:pPr>
        <w:pStyle w:val="Heading2"/>
        <w:jc w:val="left"/>
      </w:pPr>
      <w:r>
        <w:t>Properties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p>
      <w:pPr>
        <w:pStyle w:val="Heading2"/>
        <w:jc w:val="left"/>
      </w:pPr>
      <w:r>
        <w:t>Properties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body>
</w:document>
</file>

<file path=word/footer1.xml><?xml version="1.0" encoding="utf-8"?>
<w:ftr xmlns:w="http://schemas.openxmlformats.org/wordprocessingml/2006/main">
  <w:p>
    <w:pPr>
      <w:pStyle w:val="Footer"/>
    </w:pPr>
    <w:r>
      <w:t>LearningToken2 - b827130d9b29cec2d8cff86915387a913edab1cb61f5b731a6fcd054e53bfed7</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007224e24ef463d" /><Relationship Type="http://schemas.openxmlformats.org/officeDocument/2006/relationships/numbering" Target="/word/numbering.xml" Id="NumberingDefinitionsPart001" /><Relationship Type="http://schemas.openxmlformats.org/officeDocument/2006/relationships/header" Target="/word/header1.xml" Id="Rd4d3f3758d6b4d14" /><Relationship Type="http://schemas.openxmlformats.org/officeDocument/2006/relationships/footer" Target="/word/footer1.xml" Id="R3ee20fd4c0eb4a8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