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34cf9e836364483" /></Relationships>
</file>

<file path=word/document.xml><?xml version="1.0" encoding="utf-8"?>
<w:document xmlns:w="http://schemas.openxmlformats.org/wordprocessingml/2006/main">
  <w:body>
    <w:footerReference xmlns:r="http://schemas.openxmlformats.org/officeDocument/2006/relationships" r:id="Rf65302e295604872"/>
    <w:headerReference xmlns:r="http://schemas.openxmlformats.org/officeDocument/2006/relationships" r:id="Rf3871f00c27f4a79"/>
    <w:p>
      <w:pPr>
        <w:pStyle w:val="Title"/>
        <w:jc w:val="center"/>
      </w:pPr>
      <w:r>
        <w:t xml:space="preserve">Processed-Claim</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Debbie Reed</w:t>
                </w:r>
              </w:p>
            </w:tc>
            <w:tc>
              <w:p>
                <w:r>
                  <w:t>ESMC</w:t>
                </w:r>
              </w:p>
            </w:tc>
          </w:tr>
          <w:tr>
            <w:tc>
              <w:p>
                <w:r>
                  <w:t>Cameron Prell</w:t>
                </w:r>
              </w:p>
            </w:tc>
            <w:tc>
              <w:p>
                <w:r>
                  <w:t>XPansiv</w:t>
                </w:r>
              </w:p>
            </w:tc>
          </w:tr>
          <w:tr>
            <w:tc>
              <w:p>
                <w:r>
                  <w:t>Marley Gray</w:t>
                </w:r>
              </w:p>
            </w:tc>
            <w:tc>
              <w:p>
                <w:r>
                  <w:t>Microsoft</w:t>
                </w:r>
              </w:p>
            </w:tc>
          </w:tr>
          <w:tr>
            <w:tc>
              <w:p>
                <w:r>
                  <w:t>Doug Miller</w:t>
                </w:r>
              </w:p>
            </w:tc>
            <w:tc>
              <w:p>
                <w:r>
                  <w:t>Energy Web Foundation</w:t>
                </w:r>
              </w:p>
            </w:tc>
          </w:tr>
          <w:tr>
            <w:tc>
              <w:p>
                <w:r>
                  <w:t>Michelle Lancaster</w:t>
                </w:r>
              </w:p>
            </w:tc>
            <w:tc>
              <w:p>
                <w:r>
                  <w:t>Microsoft</w:t>
                </w:r>
              </w:p>
            </w:tc>
          </w:tr>
          <w:tr>
            <w:tc>
              <w:p>
                <w:r>
                  <w:t>John Lee</w:t>
                </w:r>
              </w:p>
            </w:tc>
            <w:tc>
              <w:p>
                <w:r>
                  <w:t>Accenture</w:t>
                </w:r>
              </w:p>
            </w:tc>
          </w:tr>
          <w:tr>
            <w:tc>
              <w:p>
                <w:r>
                  <w:t>Robert Greenfield</w:t>
                </w:r>
              </w:p>
            </w:tc>
            <w:tc>
              <w:p>
                <w:r>
                  <w:t>Emerging Impact Group</w:t>
                </w:r>
              </w:p>
            </w:tc>
          </w:tr>
          <w:tr>
            <w:tc>
              <w:p>
                <w:r>
                  <w:t>Conor Svensson</w:t>
                </w:r>
              </w:p>
            </w:tc>
            <w:tc>
              <w:p>
                <w:r>
                  <w:t>Web3 Labs</w:t>
                </w:r>
              </w:p>
            </w:tc>
          </w:tr>
          <w:tr>
            <w:tc>
              <w:p>
                <w:r>
                  <w:t>Martin Wainstein</w:t>
                </w:r>
              </w:p>
            </w:tc>
            <w:tc>
              <w:p>
                <w:r>
                  <w:t>Open Earth Foundation</w:t>
                </w:r>
              </w:p>
            </w:tc>
          </w:tr>
          <w:tr>
            <w:tc>
              <w:p>
                <w:r>
                  <w:t>Meerim Ruslanova</w:t>
                </w:r>
              </w:p>
            </w:tc>
            <w:tc>
              <w:p>
                <w:r>
                  <w:t>Energy Web Foundation</w:t>
                </w:r>
              </w:p>
            </w:tc>
          </w:tr>
          <w:tr>
            <w:tc>
              <w:p>
                <w:r>
                  <w:t>Ken Anderson</w:t>
                </w:r>
              </w:p>
            </w:tc>
            <w:tc>
              <w:p>
                <w:r>
                  <w:t>Hedera Hashgraph</w:t>
                </w:r>
              </w:p>
            </w:tc>
          </w:tr>
          <w:tr>
            <w:tc>
              <w:p>
                <w:r>
                  <w:t>Wes Geisenberger</w:t>
                </w:r>
              </w:p>
            </w:tc>
            <w:tc>
              <w:p>
                <w:r>
                  <w:t>Hedera Hashgraph</w:t>
                </w:r>
              </w:p>
            </w:tc>
          </w:tr>
          <w:tr>
            <w:tc>
              <w:p>
                <w:r>
                  <w:t>Tom Herman</w:t>
                </w:r>
              </w:p>
            </w:tc>
            <w:tc>
              <w:p>
                <w:r>
                  <w:t>AirCarbon Pte Ltd</w:t>
                </w:r>
              </w:p>
            </w:tc>
          </w:tr>
          <w:tr>
            <w:tc>
              <w:p>
                <w:r>
                  <w:t>Tom Baumann</w:t>
                </w:r>
              </w:p>
            </w:tc>
            <w:tc>
              <w:p>
                <w:r>
                  <w:t>Climate Check</w:t>
                </w:r>
              </w:p>
            </w:tc>
          </w:tr>
        </w:tbl>
      </w:r>
    </w:p>
    <w:p>
      <w:pPr>
        <w:pStyle w:val="Heading3"/>
        <w:jc w:val="center"/>
      </w:pPr>
      <w:r>
        <w:t>Taxonomy Formula: [tN{~d,~t,g,CCC}+phEC]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Whole</w:t>
                </w:r>
              </w:p>
              <w:tcPr>
                <w:tcW w:w="15" w:type="pct"/>
              </w:tcPr>
            </w:tc>
            <w:tc>
              <w:p>
                <w:r>
                  <w:t>There can be many instances of this token, but they cannot be divided.</w:t>
                </w:r>
              </w:p>
              <w:tcPr>
                <w:tcW w:w="65" w:type="pct"/>
              </w:tcPr>
            </w:tc>
          </w:tr>
          <w:tr>
            <w:tc>
              <w:p>
                <w:r>
                  <w:t>Value Type:</w:t>
                </w:r>
              </w:p>
              <w:tcPr>
                <w:tcW w:w="20" w:type="pct"/>
              </w:tcPr>
            </w:tc>
            <w:tc>
              <w:p>
                <w:r>
                  <w:t>Reference</w:t>
                </w:r>
              </w:p>
              <w:tcPr>
                <w:tcW w:w="15" w:type="pct"/>
              </w:tcPr>
            </w:tc>
            <w:tc>
              <w:p>
                <w:r>
                  <w:t>This token is a receipt or title to a material item, property or right. The token represents a reference to the value, can be owned or used digitally via its token. Sometimes referred to as a digital twin.</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r>
            <w:tc>
              <w:p>
                <w:r>
                  <w:t>Supply:</w:t>
                </w:r>
              </w:p>
              <w:tcPr>
                <w:tcW w:w="20" w:type="pct"/>
              </w:tcPr>
            </w:tc>
            <w:tc>
              <w:p>
                <w:r>
                  <w:t>Infinite</w:t>
                </w:r>
              </w:p>
              <w:tcPr>
                <w:tcW w:w="15" w:type="pct"/>
              </w:tcPr>
            </w:tc>
            <w:tc>
              <w:p>
                <w:r>
                  <w:t>Infinite supply indicates that tokens in the class can be created and removed with no cap and also potentially reflect negative supply for certain business cases.</w:t>
                </w:r>
              </w:p>
              <w:tcPr>
                <w:tcW w:w="65" w:type="pct"/>
              </w:tcPr>
            </w:tc>
          </w:tr>
        </w:tbl>
      </w:r>
    </w:p>
    <w:p>
      <w:pPr>
        <w:pStyle w:val="Quote"/>
        <w:jc w:val="left"/>
      </w:pPr>
      <w:r>
        <w:t>A Processed Claim is created when a VVB processes a Ecological Claim submitted by a Ecological Project, which retires the ecological claim linking it with the processed claim.  A processed claim is used to create a Ecological Benefit Token, like a carbon credit, i.e., CCP or CRU token.  This is a Variable Supply Whole Non-Fungible where the total supply can vary. The tokens in this class will be of the same series, sharing those properties like their Verification Contract, but also have unique values. It is Whole by setting the Decimals property on the dividable behavior = 0. A token instance can be burned.</w:t>
      </w:r>
    </w:p>
    <w:p>
      <w:pPr>
        <w:pStyle w:val="Heading3"/>
        <w:jc w:val="left"/>
      </w:pPr>
      <w:r>
        <w:t>Example</w:t>
      </w:r>
    </w:p>
    <w:p>
      <w:pPr>
        <w:pStyle w:val="Normal"/>
        <w:jc w:val="left"/>
      </w:pPr>
      <w:r>
        <w:t>This token can be used to represent a unique item in a shared context, like a processed claim in a collection of processed claims from the same Verification Contract.</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Verified Claim</w:t>
                </w:r>
              </w:p>
            </w:tc>
            <w:tc>
              <w:p>
                <w:r>
                  <w:t>Similar to an Insurance Claim, where an adjuster validates and verifies the claim and will issue an adjusted claim, a processed claim is the result of the VVB's processing of the claim and its findings.</w:t>
                </w:r>
              </w:p>
            </w:tc>
          </w:tr>
        </w:tbl>
      </w:r>
    </w:p>
    <w:p>
      <w:pPr>
        <w:pStyle w:val="Heading1"/>
        <w:jc w:val="left"/>
      </w:pPr>
      <w:r>
        <w:t>Processed-Claim is:</w:t>
      </w:r>
    </w:p>
    <w:p>
      <w:pPr>
        <w:numPr>
          <w:ilvl w:val="0"/>
          <w:numId w:val="1"/>
        </w:numPr>
        <w:spacing w:after="0"/>
        <w:ind w:left="720" w:hanging="360"/>
        <w:rPr>
          <w:rFonts w:ascii="Symbol" w:hAnsi="Symbol"/>
        </w:rPr>
      </w:pPr>
      <w:r>
        <w:t>Indivisible</w:t>
      </w:r>
    </w:p>
    <w:p>
      <w:pPr>
        <w:numPr>
          <w:ilvl w:val="0"/>
          <w:numId w:val="1"/>
        </w:numPr>
        <w:spacing w:after="0"/>
        <w:ind w:left="720" w:hanging="360"/>
        <w:rPr>
          <w:rFonts w:ascii="Symbol" w:hAnsi="Symbol"/>
        </w:rPr>
      </w:pPr>
      <w:r>
        <w:t>Non-transferable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Credible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3"/>
        <w:jc w:val="center"/>
      </w:pPr>
      <w:r>
        <w:t>It includes the following Property Sets:</w:t>
      </w:r>
    </w:p>
    <w:p>
      <w:pPr>
        <w:numPr>
          <w:ilvl w:val="0"/>
          <w:numId w:val="2"/>
        </w:numPr>
        <w:spacing w:after="0"/>
        <w:ind w:left="720" w:hanging="360"/>
        <w:rPr>
          <w:rFonts w:ascii="Symbol" w:hAnsi="Symbol"/>
        </w:rPr>
      </w:pPr>
      <w:r>
        <w:t>Ecological Checkpoint</w:t>
      </w:r>
    </w:p>
    <w:p>
      <w:pPr>
        <w:pStyle w:val="Heading1"/>
        <w:jc w:val="center"/>
      </w:pPr>
      <w:r>
        <w:t>Processed-Claim Details</w:t>
      </w:r>
    </w:p>
    <w:p>
      <w:pPr>
        <w:pStyle w:val="Heading2"/>
        <w:jc w:val="center"/>
      </w:pPr>
      <w:r>
        <w:t xml:space="preserve">Whole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but the class of a non-fungible token may be of the same type. A class of non-fungible tokens can be used to represent many tokens that share the same properties, but have different values for them. Meaning a non-fungible token is not interchangeable with other tokens of the same class but can have some shared properties and values while also having unique property values between token instances in the class. These tokens are whole tokens and can have quantities greater than 1 and also could support variable supply.</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An Artists Collection</w:t>
                </w:r>
              </w:p>
            </w:tc>
            <w:tc>
              <w:p>
                <w:r>
                  <w:t>An artist may want to represent all their art in a single class of non-fungible tokens, where each token represents a unique piece of art what shared information about the artist between art works, but unique properties between tokens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Reference</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left"/>
      </w:pPr>
      <w:r>
        <w:t>Specification Behavior</w:t>
      </w:r>
    </w:p>
    <w:p>
      <w:pPr>
        <w:pStyle w:val="Heading1"/>
        <w:jc w:val="center"/>
      </w:pPr>
      <w:r>
        <w:t xml:space="preserve">Indivisible</w:t>
      </w:r>
    </w:p>
    <w:p>
      <w:pPr>
        <w:pStyle w:val="Heading3"/>
        <w:jc w:val="left"/>
      </w:pPr>
      <w:r>
        <w:t>Taxonomy Symbol: ~d</w:t>
      </w:r>
    </w:p>
    <w:p>
      <w:pPr>
        <w:pStyle w:val="Quote"/>
        <w:jc w:val="left"/>
      </w:pPr>
      <w:r>
        <w:t>An ability or restriction on the token where it cannot be divided from a single whole token into fractions. Sets the base token Decimals property to 0 which will make the token indivisible and a whole token is the smallest ownable unit of the token.</w:t>
      </w:r>
    </w:p>
    <w:p>
      <w:pPr>
        <w:pStyle w:val="Heading3"/>
        <w:jc w:val="left"/>
      </w:pPr>
      <w:r>
        <w:t>Example</w:t>
      </w:r>
    </w:p>
    <w:p>
      <w:pPr>
        <w:pStyle w:val="Normal"/>
        <w:jc w:val="left"/>
      </w:pPr>
      <w:r>
        <w:t>Indivisible is common for items where 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divide.</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Indivisible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indivisible.proto</w:t>
                </w:r>
              </w:p>
            </w:tc>
            <w:tc>
              <w:p>
                <w:r>
                  <w:t/>
                </w:r>
              </w:p>
            </w:tc>
          </w:tr>
          <w:tr>
            <w:tc>
              <w:p>
                <w:r>
                  <w:t>Uml</w:t>
                </w:r>
              </w:p>
            </w:tc>
            <w:tc>
              <w:p>
                <w:r>
                  <w:t>indivisible.md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Indivisible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2"/>
        <w:jc w:val="left"/>
      </w:pPr>
      <w:r>
        <w:t>Specification Behavior</w:t>
      </w:r>
    </w:p>
    <w:p>
      <w:pPr>
        <w:pStyle w:val="Heading1"/>
        <w:jc w:val="center"/>
      </w:pPr>
      <w:r>
        <w:t xml:space="preserve">Non-transferable</w:t>
      </w:r>
    </w:p>
    <w:p>
      <w:pPr>
        <w:pStyle w:val="Heading3"/>
        <w:jc w:val="left"/>
      </w:pPr>
      <w:r>
        <w:t>Taxonomy Symbol: ~t</w:t>
      </w:r>
    </w:p>
    <w:p>
      <w:pPr>
        <w:pStyle w:val="Quote"/>
        <w:jc w:val="left"/>
      </w:pPr>
      <w:r>
        <w:t>Every token instance has an owner. The Non-transferable behavior prevents the owner of a token from changing.</w:t>
      </w:r>
    </w:p>
    <w:p>
      <w:pPr>
        <w:pStyle w:val="Heading3"/>
        <w:jc w:val="left"/>
      </w:pPr>
      <w:r>
        <w:t>Example</w:t>
      </w:r>
    </w:p>
    <w:p>
      <w:pPr>
        <w:pStyle w:val="Normal"/>
        <w:jc w:val="left"/>
      </w:pPr>
      <w:r>
        <w:t>A vote token, for a citizen in a public election would be non-transferable.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Non-transferable responds to these Invocations</w:t>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2"/>
        <w:jc w:val="left"/>
      </w:pPr>
      <w:r>
        <w:t>Specification Behavior</w:t>
      </w:r>
    </w:p>
    <w:p>
      <w:pPr>
        <w:pStyle w:val="Heading1"/>
        <w:jc w:val="center"/>
      </w:pPr>
      <w:r>
        <w:t xml:space="preserve">Credible</w:t>
      </w:r>
    </w:p>
    <w:p>
      <w:pPr>
        <w:pStyle w:val="Heading3"/>
        <w:jc w:val="left"/>
      </w:pPr>
      <w:r>
        <w:t>Taxonomy Symbol: cr</w:t>
      </w:r>
    </w:p>
    <w:p>
      <w:pPr>
        <w:pStyle w:val="Quote"/>
        <w:jc w:val="left"/>
      </w:pPr>
      <w:r>
        <w:t>A token class that implements this behavior is burned or retired with its the credit token created on its behalf being recorded. For example, a Processed Carbon Benefit Claim is created after validation and verification of an Ecological Claim and a Carbon Credit is created as a result. Once the credit is created, the Processed Claim token should be credited or retired by passing in the credit that resulted from the verification of the claim. This ensures that the processed claim cannot be validated and verified again and can no longer be used.</w:t>
      </w:r>
    </w:p>
    <w:p>
      <w:pPr>
        <w:pStyle w:val="Heading3"/>
        <w:jc w:val="left"/>
      </w:pPr>
      <w:r>
        <w:t>Example</w:t>
      </w:r>
    </w:p>
    <w:p>
      <w:pPr>
        <w:pStyle w:val="Normal"/>
        <w:jc w:val="left"/>
      </w:pPr>
      <w:r>
        <w:t/>
      </w:r>
    </w:p>
    <w:p>
      <w:pPr>
        <w:pStyle w:val="Heading3"/>
        <w:jc w:val="left"/>
      </w:pPr>
      <w:r>
        <w:t>Comments</w:t>
      </w:r>
    </w:p>
    <w:p>
      <w:pPr>
        <w:pStyle w:val="Normal"/>
        <w:jc w:val="left"/>
      </w:pPr>
      <w:r>
        <w:t>Used in conjunction with ecological benefit claims.</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Credible</w:t>
            </w:r>
          </w:p>
          <w:tcPr>
            <w:tcW w:w="70" w:type="pct"/>
          </w:tcPr>
        </w:tc>
      </w:tr>
      <w:tr>
        <w:tc>
          <w:p>
            <w:r>
              <w:t>Id:</w:t>
            </w:r>
          </w:p>
          <w:tcPr>
            <w:tcW w:w="30" w:type="pct"/>
          </w:tcPr>
        </w:tc>
        <w:tc>
          <w:p>
            <w:r>
              <w:t>2ee6a174-331d-4dd2-b57a-4ae81b060264</w:t>
            </w:r>
          </w:p>
          <w:tcPr>
            <w:tcW w:w="70" w:type="pct"/>
          </w:tcPr>
        </w:tc>
      </w:tr>
      <w:tr>
        <w:tc>
          <w:p>
            <w:r>
              <w:t>Visual:</w:t>
            </w:r>
          </w:p>
          <w:tcPr>
            <w:tcW w:w="30" w:type="pct"/>
          </w:tcPr>
        </w:tc>
        <w:tc>
          <w:p>
            <w:r>
              <w:t>&lt;i&gt;cr&lt;/i&gt;</w:t>
            </w:r>
          </w:p>
          <w:tcPr>
            <w:tcW w:w="70" w:type="pct"/>
          </w:tcPr>
        </w:tc>
      </w:tr>
      <w:tr>
        <w:tc>
          <w:p>
            <w:r>
              <w:t>Tooling:</w:t>
            </w:r>
          </w:p>
          <w:tcPr>
            <w:tcW w:w="30" w:type="pct"/>
          </w:tcPr>
        </w:tc>
        <w:tc>
          <w:p>
            <w:r>
              <w:t>cr</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This would allow for an owner to allow another party to credit on their behalf, like the standard registry.</w:t>
                </w:r>
              </w:p>
            </w:tc>
            <w:tc>
              <w:p>
                <w:r>
                  <w:t>g</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credible.proto</w:t>
                </w:r>
              </w:p>
            </w:tc>
            <w:tc>
              <w:p>
                <w:r>
                  <w:t/>
                </w:r>
              </w:p>
            </w:tc>
          </w:tr>
          <w:tr>
            <w:tc>
              <w:p>
                <w:r>
                  <w:t>Uml</w:t>
                </w:r>
              </w:p>
            </w:tc>
            <w:tc>
              <w:p>
                <w:r>
                  <w:t>credible.md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Credible responds to these Invocations</w:t>
      </w:r>
    </w:p>
    <w:p>
      <w:pPr>
        <w:pStyle w:val="Heading4"/>
        <w:jc w:val="left"/>
      </w:pPr>
      <w:r>
        <w:t>Credit</w:t>
      </w:r>
    </w:p>
    <w:p>
      <w:pPr>
        <w:pStyle w:val="Normal"/>
        <w:jc w:val="left"/>
      </w:pPr>
      <w:r>
        <w:t>Id: 2019574d-c8bf-44b6-afb7-cb6eaf74a308</w:t>
      </w:r>
    </w:p>
    <w:p>
      <w:pPr>
        <w:pStyle w:val="Normal"/>
        <w:jc w:val="left"/>
      </w:pPr>
      <w:r>
        <w:t>Description: A request to credit a token instance(s) in the class by the issuer of the credit to record the creditId and retire or burn this instance.</w:t>
      </w:r>
    </w:p>
    <w:p>
      <w:pPr>
        <w:pStyle w:val="Heading5"/>
        <w:jc w:val="left"/>
      </w:pPr>
      <w:r>
        <w:t>Request Message:</w:t>
      </w:r>
    </w:p>
    <w:p>
      <w:pPr>
        <w:pStyle w:val="Normal"/>
        <w:jc w:val="left"/>
      </w:pPr>
      <w:r>
        <w:t>CreditRequest</w:t>
      </w:r>
    </w:p>
    <w:p>
      <w:pPr>
        <w:pStyle w:val="Normal"/>
        <w:jc w:val="left"/>
      </w:pPr>
      <w:r>
        <w:t>Description: The request to credit this token.</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CreditId</w:t>
                </w:r>
              </w:p>
            </w:tc>
            <w:tc>
              <w:p>
                <w:r>
                  <w:t>The Id of the credit token.</w:t>
                </w:r>
              </w:p>
            </w:tc>
          </w:tr>
        </w:tbl>
      </w:r>
    </w:p>
    <w:p>
      <w:pPr>
        <w:pStyle w:val="Heading5"/>
        <w:jc w:val="left"/>
      </w:pPr>
      <w:r>
        <w:t>Response Message</w:t>
      </w:r>
    </w:p>
    <w:p>
      <w:pPr>
        <w:pStyle w:val="Normal"/>
        <w:jc w:val="left"/>
      </w:pPr>
      <w:r>
        <w:t>CreditResponse</w:t>
      </w:r>
    </w:p>
    <w:p>
      <w:pPr>
        <w:pStyle w:val="Normal"/>
        <w:jc w:val="left"/>
      </w:pPr>
      <w:r>
        <w:t>Description: The response from the request to Credit.</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Credit request</w:t>
                </w:r>
              </w:p>
            </w:tc>
          </w:tr>
        </w:tbl>
      </w:r>
    </w:p>
    <w:p>
      <w:pPr>
        <w:pStyle w:val="Normal"/>
        <w:jc w:val="center"/>
      </w:pPr>
      <w:r>
        <w:t/>
      </w:r>
    </w:p>
    <w:p>
      <w:pPr>
        <w:pStyle w:val="Heading4"/>
        <w:jc w:val="left"/>
      </w:pPr>
      <w:r>
        <w:t>CreditFrom</w:t>
      </w:r>
    </w:p>
    <w:p>
      <w:pPr>
        <w:pStyle w:val="Normal"/>
        <w:jc w:val="left"/>
      </w:pPr>
      <w:r>
        <w:t>Id: 47057767-e0ee-4737-993b-698f7baab3ed</w:t>
      </w:r>
    </w:p>
    <w:p>
      <w:pPr>
        <w:pStyle w:val="Normal"/>
        <w:jc w:val="left"/>
      </w:pPr>
      <w:r>
        <w:t>Description: Requires Delegable. A request to credit a token instance in the class by a party or account that has allowance to do so. Once the token is Credit, invocations of Transfer should be blocked.  Requires a From and Quantity fields in the request.</w:t>
      </w:r>
    </w:p>
    <w:p>
      <w:pPr>
        <w:pStyle w:val="Heading5"/>
        <w:jc w:val="left"/>
      </w:pPr>
      <w:r>
        <w:t>Request Message:</w:t>
      </w:r>
    </w:p>
    <w:p>
      <w:pPr>
        <w:pStyle w:val="Normal"/>
        <w:jc w:val="left"/>
      </w:pPr>
      <w:r>
        <w:t>CreditFromRequest</w:t>
      </w:r>
    </w:p>
    <w:p>
      <w:pPr>
        <w:pStyle w:val="Normal"/>
        <w:jc w:val="left"/>
      </w:pPr>
      <w:r>
        <w:t>Description: The request to Credit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credited.</w:t>
                </w:r>
              </w:p>
            </w:tc>
          </w:tr>
          <w:tr>
            <w:tc>
              <w:p>
                <w:r>
                  <w:t>AppliedTo</w:t>
                </w:r>
              </w:p>
            </w:tc>
            <w:tc>
              <w:p>
                <w:r>
                  <w:t>The Id of the reported emission that is being credited.</w:t>
                </w:r>
              </w:p>
            </w:tc>
          </w:tr>
        </w:tbl>
      </w:r>
    </w:p>
    <w:p>
      <w:pPr>
        <w:pStyle w:val="Heading5"/>
        <w:jc w:val="left"/>
      </w:pPr>
      <w:r>
        <w:t>Response Message</w:t>
      </w:r>
    </w:p>
    <w:p>
      <w:pPr>
        <w:pStyle w:val="Normal"/>
        <w:jc w:val="left"/>
      </w:pPr>
      <w:r>
        <w:t>CreditFromResponse</w:t>
      </w:r>
    </w:p>
    <w:p>
      <w:pPr>
        <w:pStyle w:val="Normal"/>
        <w:jc w:val="left"/>
      </w:pPr>
      <w:r>
        <w:t>Description: The response from the request to credit from.</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credit from request</w:t>
                </w:r>
              </w:p>
            </w:tc>
          </w:tr>
        </w:tbl>
      </w:r>
    </w:p>
    <w:p>
      <w:pPr>
        <w:pStyle w:val="Normal"/>
        <w:jc w:val="center"/>
      </w:pPr>
      <w:r>
        <w:t/>
      </w:r>
    </w:p>
    <w:p>
      <w:pPr>
        <w:pStyle w:val="Heading3"/>
        <w:jc w:val="left"/>
      </w:pPr>
      <w:r>
        <w:t>Properties</w:t>
      </w:r>
    </w:p>
    <w:p>
      <w:pPr>
        <w:pStyle w:val="Heading4"/>
        <w:jc w:val="left"/>
      </w:pPr>
      <w:r>
        <w:t>Name: CreditId</w:t>
      </w:r>
    </w:p>
    <w:p>
      <w:pPr>
        <w:pStyle w:val="Normal"/>
        <w:jc w:val="left"/>
      </w:pPr>
      <w:r>
        <w:t>Value Description: Records the benefit credit Id for the claim, like an Core Carbon Principles token.</w:t>
      </w:r>
    </w:p>
    <w:p>
      <w:pPr>
        <w:pStyle w:val="Normal"/>
        <w:jc w:val="left"/>
      </w:pPr>
      <w:r>
        <w:t>Template Value: </w:t>
      </w:r>
    </w:p>
    <w:p>
      <w:pPr>
        <w:pStyle w:val="Heading3"/>
        <w:jc w:val="left"/>
      </w:pPr>
      <w:r>
        <w:t>Invocations</w:t>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r>
            <w:tc>
              <w:p>
                <w:r>
                  <w:t>Burners</w:t>
                </w:r>
              </w:p>
            </w:tc>
            <w:tc>
              <w:p>
                <w:r>
                  <w:t>A role called 'Burners' for a token can have accounts in the role. The BurnFrom behavior invocation will be bound to the role check to ensure only account in the 'Burners'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 Roles</w:t>
                </w:r>
              </w:p>
            </w:tc>
            <w:tc>
              <w:p>
                <w:r>
                  <w:t>EthereumSolidity</w:t>
                </w:r>
              </w:p>
            </w:tc>
            <w:tc>
              <w:p>
                <w:r>
                  <w:t>https://github.com/OpenZeppelin/openzeppelin-contracts/blob/master/contracts/access/Roles.sol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Submitters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GetSubmitters</w:t>
      </w:r>
    </w:p>
    <w:p>
      <w:pPr>
        <w:pStyle w:val="Normal"/>
        <w:jc w:val="left"/>
      </w:pPr>
      <w:r>
        <w:t>Id: </w:t>
      </w:r>
    </w:p>
    <w:p>
      <w:pPr>
        <w:pStyle w:val="Normal"/>
        <w:jc w:val="left"/>
      </w:pPr>
      <w:r>
        <w:t>Description: Request the the list of member accounts in the 'Submitters' role.</w:t>
      </w:r>
    </w:p>
    <w:p>
      <w:pPr>
        <w:pStyle w:val="Heading5"/>
        <w:jc w:val="left"/>
      </w:pPr>
      <w:r>
        <w:t>Request</w:t>
      </w:r>
    </w:p>
    <w:p>
      <w:pPr>
        <w:pStyle w:val="Normal"/>
        <w:jc w:val="left"/>
      </w:pPr>
      <w:r>
        <w:t>Control Message: GetSubmittersRequest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GetSubmittersResponse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'Submitters'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'Submitters'</w:t>
                </w:r>
              </w:p>
            </w:tc>
          </w:tr>
          <w:tr>
            <w:tc>
              <w:p>
                <w:r>
                  <w:t>AccountAddress</w:t>
                </w:r>
              </w:p>
            </w:tc>
            <w:tc>
              <w:p>
                <w:r>
                  <w:t>Address, name or identifier of the account to be added to the 'Submitters'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'Submitters'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'Submitters'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'Submitters'</w:t>
      </w:r>
    </w:p>
    <w:p>
      <w:pPr>
        <w:pStyle w:val="Heading5"/>
        <w:jc w:val="left"/>
      </w:pPr>
      <w:r>
        <w:t>Request Message:</w:t>
      </w:r>
    </w:p>
    <w:p>
      <w:pPr>
        <w:pStyle w:val="Normal"/>
        <w:jc w:val="left"/>
      </w:pPr>
      <w:r>
        <w:t>IsInRole</w:t>
      </w:r>
    </w:p>
    <w:p>
      <w:pPr>
        <w:pStyle w:val="Normal"/>
        <w:jc w:val="left"/>
      </w:pPr>
      <w:r>
        <w:t>Description: Checking the 'Submitters'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'Submitters'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2"/>
        <w:jc w:val="center"/>
      </w:pPr>
      <w:r>
        <w:t xml:space="preserve">Credible Claim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Credible Claim Control</w:t>
            </w:r>
          </w:p>
          <w:tcPr>
            <w:tcW w:w="70" w:type="pct"/>
          </w:tcPr>
        </w:tc>
      </w:tr>
      <w:tr>
        <w:tc>
          <w:p>
            <w:r>
              <w:t>Id:</w:t>
            </w:r>
          </w:p>
          <w:tcPr>
            <w:tcW w:w="30" w:type="pct"/>
          </w:tcPr>
        </w:tc>
        <w:tc>
          <w:p>
            <w:r>
              <w:t>9a2f6a02-15ff-4dc3-8a37-77980d02eebb</w:t>
            </w:r>
          </w:p>
          <w:tcPr>
            <w:tcW w:w="70" w:type="pct"/>
          </w:tcPr>
        </w:tc>
      </w:tr>
      <w:tr>
        <w:tc>
          <w:p>
            <w:r>
              <w:t>Visual:</w:t>
            </w:r>
          </w:p>
          <w:tcPr>
            <w:tcW w:w="30" w:type="pct"/>
          </w:tcPr>
        </w:tc>
        <w:tc>
          <w:p>
            <w:r>
              <w:t>&lt;i&gt;CCC&lt;/i&gt;</w:t>
            </w:r>
          </w:p>
          <w:tcPr>
            <w:tcW w:w="70" w:type="pct"/>
          </w:tcPr>
        </w:tc>
      </w:tr>
      <w:tr>
        <w:tc>
          <w:p>
            <w:r>
              <w:t>Tooling:</w:t>
            </w:r>
          </w:p>
          <w:tcPr>
            <w:tcW w:w="30" w:type="pct"/>
          </w:tcPr>
        </w:tc>
        <w:tc>
          <w:p>
            <w:r>
              <w:t>CCC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Submitters, that will be allowed to invoke the Mintable behavior. Accounts can be added to the role and will be able to mint tokens in the class. The owner of an instance can credit or delegate crediting of the token which burns or retires the token, but requires the the Id of the benefit credit be supplied to be successfully be credited. This provides correlation between the two items.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Submitters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Submitters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credible-claim-control.proto</w:t>
                </w:r>
              </w:p>
            </w:tc>
            <w:tc>
              <w:p>
                <w:r>
                  <w:t/>
                </w:r>
              </w:p>
            </w:tc>
          </w:tr>
          <w:tr>
            <w:tc>
              <w:p>
                <w:r>
                  <w:t>Uml</w:t>
                </w:r>
              </w:p>
            </w:tc>
            <w:tc>
              <w:p>
                <w:r>
                  <w:t>credible-claim-control.md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p>
      <w:pPr>
        <w:pStyle w:val="Heading2"/>
        <w:jc w:val="left"/>
      </w:pPr>
      <w:r>
        <w:t>Specification Property Set</w:t>
      </w:r>
    </w:p>
    <w:p>
      <w:pPr>
        <w:pStyle w:val="Heading2"/>
        <w:jc w:val="center"/>
      </w:pPr>
      <w:r>
        <w:t xml:space="preserve">Ecological Checkpoint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Ecological Checkpoint</w:t>
            </w:r>
          </w:p>
          <w:tcPr>
            <w:tcW w:w="70" w:type="pct"/>
          </w:tcPr>
        </w:tc>
      </w:tr>
      <w:tr>
        <w:tc>
          <w:p>
            <w:r>
              <w:t>Id:</w:t>
            </w:r>
          </w:p>
          <w:tcPr>
            <w:tcW w:w="30" w:type="pct"/>
          </w:tcPr>
        </w:tc>
        <w:tc>
          <w:p>
            <w:r>
              <w:t>9bbcac72-ba95-4d73-ad95-d96275a4924f</w:t>
            </w:r>
          </w:p>
          <w:tcPr>
            <w:tcW w:w="70" w:type="pct"/>
          </w:tcPr>
        </w:tc>
      </w:tr>
      <w:tr>
        <w:tc>
          <w:p>
            <w:r>
              <w:t>Visual:</w:t>
            </w:r>
          </w:p>
          <w:tcPr>
            <w:tcW w:w="30" w:type="pct"/>
          </w:tcPr>
        </w:tc>
        <w:tc>
          <w:p>
            <w:r>
              <w:t>&amp;phi;&lt;i&gt;EC&lt;/i&gt;</w:t>
            </w:r>
          </w:p>
          <w:tcPr>
            <w:tcW w:w="70" w:type="pct"/>
          </w:tcPr>
        </w:tc>
      </w:tr>
      <w:tr>
        <w:tc>
          <w:p>
            <w:r>
              <w:t>Tooling:</w:t>
            </w:r>
          </w:p>
          <w:tcPr>
            <w:tcW w:w="30" w:type="pct"/>
          </w:tcPr>
        </w:tc>
        <w:tc>
          <w:p>
            <w:r>
              <w:t>phEC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modular benefit project's ecological claim, a claim is made up of one or more ecological checkpoints that records the time frame of the data, raw source claim or reference data. The collection of checkpoints in an Ecological Claim are used to verify the claim.</w:t>
      </w:r>
    </w:p>
    <w:p>
      <w:pPr>
        <w:pStyle w:val="Heading2"/>
        <w:jc w:val="left"/>
      </w:pPr>
      <w:r>
        <w:t>Example</w:t>
      </w:r>
    </w:p>
    <w:p>
      <w:pPr>
        <w:pStyle w:val="Normal"/>
        <w:jc w:val="left"/>
      </w:pPr>
      <w:r>
        <w:t>A modular benefit project produces a benefit claim for a reporting period that needs to be verified in order to be turned into a credit.  A claim is built over a period of time and it can be beneficial for the project to issue periodic checkpoints for the claim during that time period in order to show progress and prove the work for the claim over the duration. An Claim will have at least one checkpoint and can have as many as prescribed by the standard methodology or protocol defines. This property has a unique id, contains the date range for the claim as well as a verified link to the data, raw source and reference, to verify the claim.</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phVL</w:t>
                </w:r>
              </w:p>
            </w:tc>
            <w:tc>
              <w:p>
                <w:r>
                  <w:t>The verified link is included in this property set.</w:t>
                </w:r>
              </w:p>
            </w:tc>
          </w:tr>
          <w:tr>
            <w:tc>
              <w:p>
                <w:r>
                  <w:t>PropertySet</w:t>
                </w:r>
              </w:p>
            </w:tc>
            <w:tc>
              <w:p>
                <w:r>
                  <w:t>phDR</w:t>
                </w:r>
              </w:p>
            </w:tc>
            <w:tc>
              <w:p>
                <w:r>
                  <w:t>The date range is included in this property set.</w:t>
                </w:r>
              </w:p>
            </w:tc>
          </w:tr>
          <w:tr>
            <w:tc>
              <w:p>
                <w:r>
                  <w:t>PropertySet</w:t>
                </w:r>
              </w:p>
            </w:tc>
            <w:tc>
              <w:p>
                <w:r>
                  <w:t>phCB</w:t>
                </w:r>
              </w:p>
            </w:tc>
            <w:tc>
              <w:p>
                <w:r>
                  <w:t>The co-benefits property set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create a Checkpoint.</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ecological-checkpoint.proto</w:t>
                </w:r>
              </w:p>
            </w:tc>
            <w:tc>
              <w:p>
                <w:r>
                  <w:t/>
                </w:r>
              </w:p>
            </w:tc>
          </w:tr>
          <w:tr>
            <w:tc>
              <w:p>
                <w:r>
                  <w:t>Uml</w:t>
                </w:r>
              </w:p>
            </w:tc>
            <w:tc>
              <w:p>
                <w:r>
                  <w:t>ecological-checkpoint.md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EcologicalCheckpoint</w:t>
      </w:r>
    </w:p>
    <w:p>
      <w:pPr>
        <w:pStyle w:val="Normal"/>
        <w:jc w:val="left"/>
      </w:pPr>
      <w:r>
        <w:t>Property Value Description: Contains the values for the checkpoint.</w:t>
      </w:r>
    </w:p>
    <w:p>
      <w:pPr>
        <w:pStyle w:val="Normal"/>
        <w:jc w:val="left"/>
      </w:pPr>
      <w:r>
        <w:t>Template Value is set to: </w:t>
      </w:r>
    </w:p>
    <w:p>
      <w:pPr>
        <w:pStyle w:val="Heading2"/>
        <w:jc w:val="left"/>
      </w:pPr>
      <w:r>
        <w:t>EcologicalCheckpoint responds to these Invocations</w:t>
      </w:r>
    </w:p>
    <w:p>
      <w:pPr>
        <w:pStyle w:val="Heading2"/>
        <w:jc w:val="left"/>
      </w:pPr>
      <w:r>
        <w:t>Properties</w:t>
      </w:r>
    </w:p>
    <w:p>
      <w:pPr>
        <w:pStyle w:val="Heading3"/>
        <w:jc w:val="left"/>
      </w:pPr>
      <w:r>
        <w:t>Property Name: EcologicalCheckpoint</w:t>
      </w:r>
    </w:p>
    <w:p>
      <w:pPr>
        <w:pStyle w:val="Normal"/>
        <w:jc w:val="left"/>
      </w:pPr>
      <w:r>
        <w:t>Property Value Description: Contains the values for the EcologicalCheckpoint.</w:t>
      </w:r>
    </w:p>
    <w:p>
      <w:pPr>
        <w:pStyle w:val="Normal"/>
        <w:jc w:val="left"/>
      </w:pPr>
      <w:r>
        <w:t>Template Value is set to: </w:t>
      </w:r>
    </w:p>
    <w:p>
      <w:pPr>
        <w:pStyle w:val="Heading2"/>
        <w:jc w:val="left"/>
      </w:pPr>
      <w:r>
        <w:t>EcologicalCheckpoint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3"/>
        <w:jc w:val="left"/>
      </w:pPr>
      <w:r>
        <w:t>Specification (Sub) Property Set</w:t>
      </w:r>
    </w:p>
    <w:p>
      <w:pPr>
        <w:pStyle w:val="Heading2"/>
        <w:jc w:val="center"/>
      </w:pPr>
      <w:r>
        <w:t xml:space="preserve">Verified Link</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Verified Link</w:t>
            </w:r>
          </w:p>
          <w:tcPr>
            <w:tcW w:w="70" w:type="pct"/>
          </w:tcPr>
        </w:tc>
      </w:tr>
      <w:tr>
        <w:tc>
          <w:p>
            <w:r>
              <w:t>Id:</w:t>
            </w:r>
          </w:p>
          <w:tcPr>
            <w:tcW w:w="30" w:type="pct"/>
          </w:tcPr>
        </w:tc>
        <w:tc>
          <w:p>
            <w:r>
              <w:t>ce1ca787-d018-4eb2-90e7-03b8876197bf</w:t>
            </w:r>
          </w:p>
          <w:tcPr>
            <w:tcW w:w="70" w:type="pct"/>
          </w:tcPr>
        </w:tc>
      </w:tr>
      <w:tr>
        <w:tc>
          <w:p>
            <w:r>
              <w:t>Visual:</w:t>
            </w:r>
          </w:p>
          <w:tcPr>
            <w:tcW w:w="30" w:type="pct"/>
          </w:tcPr>
        </w:tc>
        <w:tc>
          <w:p>
            <w:r>
              <w:t>&amp;phi;&lt;i&gt;VL&lt;/i&gt;</w:t>
            </w:r>
          </w:p>
          <w:tcPr>
            <w:tcW w:w="70" w:type="pct"/>
          </w:tcPr>
        </w:tc>
      </w:tr>
      <w:tr>
        <w:tc>
          <w:p>
            <w:r>
              <w:t>Tooling:</w:t>
            </w:r>
          </w:p>
          <w:tcPr>
            <w:tcW w:w="30" w:type="pct"/>
          </w:tcPr>
        </w:tc>
        <w:tc>
          <w:p>
            <w:r>
              <w:t>phVL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verified link or field with a Read/Query and Set control. The verified link can be an embedded signed URL or a traditional 3 part link with a link path (url, etc.) a signed path and a public key to verify the link path.</w:t>
      </w:r>
    </w:p>
    <w:p>
      <w:pPr>
        <w:pStyle w:val="Heading2"/>
        <w:jc w:val="left"/>
      </w:pPr>
      <w:r>
        <w:t>Example</w:t>
      </w:r>
    </w:p>
    <w:p>
      <w:pPr>
        <w:pStyle w:val="Normal"/>
        <w:jc w:val="left"/>
      </w:pPr>
      <w:r>
        <w:t>Storing an authentic reference to another object or artifact, where the link is digitally signed by it's setter and optionally may include hash values for data at the endpoint.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Signed Reference</w:t>
                </w:r>
              </w:p>
            </w:tc>
            <w:tc>
              <w:p>
                <w:r>
                  <w:t>A token implementing this property set may have multiple types of related data that is stored elsewhere.  This data is accessed following the link that is digitally signed by the setter and may include proofs or hash values of the data stored for integrity checks.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Link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verified-link.proto</w:t>
                </w:r>
              </w:p>
            </w:tc>
            <w:tc>
              <w:p>
                <w:r>
                  <w:t/>
                </w:r>
              </w:p>
            </w:tc>
          </w:tr>
          <w:tr>
            <w:tc>
              <w:p>
                <w:r>
                  <w:t>Uml</w:t>
                </w:r>
              </w:p>
            </w:tc>
            <w:tc>
              <w:p>
                <w:r>
                  <w:t>verified-link.md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VerifiedLink</w:t>
      </w:r>
    </w:p>
    <w:p>
      <w:pPr>
        <w:pStyle w:val="Normal"/>
        <w:jc w:val="left"/>
      </w:pPr>
      <w:r>
        <w:t>Property Value Description: Contains a Verified Link to the project's data.</w:t>
      </w:r>
    </w:p>
    <w:p>
      <w:pPr>
        <w:pStyle w:val="Normal"/>
        <w:jc w:val="left"/>
      </w:pPr>
      <w:r>
        <w:t>Template Value is set to: </w:t>
      </w:r>
    </w:p>
    <w:p>
      <w:pPr>
        <w:pStyle w:val="Heading2"/>
        <w:jc w:val="left"/>
      </w:pPr>
      <w:r>
        <w:t>VerifiedLink responds to these Invocations</w:t>
      </w:r>
    </w:p>
    <w:p>
      <w:pPr>
        <w:pStyle w:val="Heading3"/>
        <w:jc w:val="left"/>
      </w:pPr>
      <w:r>
        <w:t>Specification (Sub) Property Set</w:t>
      </w:r>
    </w:p>
    <w:p>
      <w:pPr>
        <w:pStyle w:val="Heading2"/>
        <w:jc w:val="center"/>
      </w:pPr>
      <w:r>
        <w:t xml:space="preserve">Date Range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Date Range</w:t>
            </w:r>
          </w:p>
          <w:tcPr>
            <w:tcW w:w="70" w:type="pct"/>
          </w:tcPr>
        </w:tc>
      </w:tr>
      <w:tr>
        <w:tc>
          <w:p>
            <w:r>
              <w:t>Id:</w:t>
            </w:r>
          </w:p>
          <w:tcPr>
            <w:tcW w:w="30" w:type="pct"/>
          </w:tcPr>
        </w:tc>
        <w:tc>
          <w:p>
            <w:r>
              <w:t>d7607f63-5e29-424f-a991-3f05c8f0daf7</w:t>
            </w:r>
          </w:p>
          <w:tcPr>
            <w:tcW w:w="70" w:type="pct"/>
          </w:tcPr>
        </w:tc>
      </w:tr>
      <w:tr>
        <w:tc>
          <w:p>
            <w:r>
              <w:t>Visual:</w:t>
            </w:r>
          </w:p>
          <w:tcPr>
            <w:tcW w:w="30" w:type="pct"/>
          </w:tcPr>
        </w:tc>
        <w:tc>
          <w:p>
            <w:r>
              <w:t>&amp;phi;&lt;i&gt;DR&lt;/i&gt;</w:t>
            </w:r>
          </w:p>
          <w:tcPr>
            <w:tcW w:w="70" w:type="pct"/>
          </w:tcPr>
        </w:tc>
      </w:tr>
      <w:tr>
        <w:tc>
          <w:p>
            <w:r>
              <w:t>Tooling:</w:t>
            </w:r>
          </w:p>
          <w:tcPr>
            <w:tcW w:w="30" w:type="pct"/>
          </w:tcPr>
        </w:tc>
        <w:tc>
          <w:p>
            <w:r>
              <w:t>phDR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time period defined using a start and stop date and time. The Date Range includes a simple date and a granular timestamp for both the start and stop points defining the time period.</w:t>
      </w:r>
    </w:p>
    <w:p>
      <w:pPr>
        <w:pStyle w:val="Heading2"/>
        <w:jc w:val="left"/>
      </w:pPr>
      <w:r>
        <w:t>Example</w:t>
      </w:r>
    </w:p>
    <w:p>
      <w:pPr>
        <w:pStyle w:val="Normal"/>
        <w:jc w:val="left"/>
      </w:pPr>
      <w:r>
        <w:t>A token may represent value of a byproduct our output of some activity that occurred during a certain time period. In the case of ecological tokens, it can be the time period in which some benefit is measured and verified that would represent the benefit's value.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GHG/Carbon Benefit</w:t>
                </w:r>
              </w:p>
            </w:tc>
            <w:tc>
              <w:p>
                <w:r>
                  <w:t>A token implementing this property set can represent the avoidance or removal or GHG/Carbon for a certain time period.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Date Range.</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date-range.proto</w:t>
                </w:r>
              </w:p>
            </w:tc>
            <w:tc>
              <w:p>
                <w:r>
                  <w:t/>
                </w:r>
              </w:p>
            </w:tc>
          </w:tr>
          <w:tr>
            <w:tc>
              <w:p>
                <w:r>
                  <w:t>Uml</w:t>
                </w:r>
              </w:p>
            </w:tc>
            <w:tc>
              <w:p>
                <w:r>
                  <w:t>date-range.md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DateRange</w:t>
      </w:r>
    </w:p>
    <w:p>
      <w:pPr>
        <w:pStyle w:val="Normal"/>
        <w:jc w:val="left"/>
      </w:pPr>
      <w:r>
        <w:t>Property Value Description: Contains the date range.</w:t>
      </w:r>
    </w:p>
    <w:p>
      <w:pPr>
        <w:pStyle w:val="Normal"/>
        <w:jc w:val="left"/>
      </w:pPr>
      <w:r>
        <w:t>Template Value is set to: </w:t>
      </w:r>
    </w:p>
    <w:p>
      <w:pPr>
        <w:pStyle w:val="Heading2"/>
        <w:jc w:val="left"/>
      </w:pPr>
      <w:r>
        <w:t>DateRange responds to these Invocations</w:t>
      </w:r>
    </w:p>
  </w:body>
</w:document>
</file>

<file path=word/footer1.xml><?xml version="1.0" encoding="utf-8"?>
<w:ftr xmlns:w="http://schemas.openxmlformats.org/wordprocessingml/2006/main">
  <w:p>
    <w:pPr>
      <w:pStyle w:val="Footer"/>
    </w:pPr>
    <w:r>
      <w:t>Processed-Claim - 915aaa7838e5fce197a805dae03595b89833c9ac437bdc8a5295d41933955c98</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abstractNum w:abstractNumId="2">
    <w:lvl w:ilvl="0">
      <w:numFmt w:val="bullet"/>
      <w:lvlText w:val="·"/>
    </w:lvl>
  </w:abstractNum>
  <w:num w:numId="1">
    <w:abstractNumId w:val="1"/>
  </w:num>
  <w:num w:numId="2">
    <w:abstractNumId w:val="2"/>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7aab93dc9d2c4ef0" /><Relationship Type="http://schemas.openxmlformats.org/officeDocument/2006/relationships/numbering" Target="/word/numbering.xml" Id="NumberingDefinitionsPart001" /><Relationship Type="http://schemas.openxmlformats.org/officeDocument/2006/relationships/header" Target="/word/header1.xml" Id="Rf3871f00c27f4a79" /><Relationship Type="http://schemas.openxmlformats.org/officeDocument/2006/relationships/footer" Target="/word/footer1.xml" Id="Rf65302e295604872"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