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18244">
      <w:pPr>
        <w:spacing w:before="160" w:after="40"/>
      </w:pPr>
      <w:r>
        <w:rPr>
          <w:rFonts w:ascii="Calibri" w:hAnsi="Calibri"/>
          <w:b/>
          <w:color w:val="334155"/>
          <w:sz w:val="22"/>
        </w:rPr>
        <w:t>INTERELÉCTRICOS GROUP SAS</w:t>
      </w:r>
    </w:p>
    <w:p w14:paraId="43F7DC2F">
      <w:pPr>
        <w:spacing w:before="0" w:after="480"/>
      </w:pPr>
      <w:r>
        <w:rPr>
          <w:rFonts w:ascii="Calibri" w:hAnsi="Calibri"/>
          <w:color w:val="64748B"/>
          <w:sz w:val="19"/>
        </w:rPr>
        <w:t>Sistema de Control, Liquidación y Auditoría de Bonificaciones en Bodega</w:t>
      </w:r>
    </w:p>
    <w:p w14:paraId="776AEE7A">
      <w:pPr>
        <w:spacing w:before="560" w:after="0"/>
      </w:pPr>
    </w:p>
    <w:p w14:paraId="4A3D4B8A">
      <w:pPr>
        <w:pStyle w:val="37"/>
        <w:spacing w:before="0" w:after="160"/>
      </w:pPr>
      <w:r>
        <w:rPr>
          <w:rFonts w:ascii="Calibri" w:hAnsi="Calibri"/>
          <w:b/>
          <w:color w:val="1E293B"/>
          <w:sz w:val="48"/>
        </w:rPr>
        <w:t>MANUAL DE USUARIO OPERATIVO</w:t>
      </w:r>
    </w:p>
    <w:p w14:paraId="0B2A43E7">
      <w:pPr>
        <w:pStyle w:val="34"/>
        <w:spacing w:before="0" w:after="560"/>
      </w:pPr>
      <w:r>
        <w:rPr>
          <w:rFonts w:ascii="Calibri" w:hAnsi="Calibri"/>
          <w:i/>
          <w:color w:val="475569"/>
          <w:sz w:val="24"/>
        </w:rPr>
        <w:t>Módulo Móvil (AppSheet) — Guía Integral para Despachadores y Bodega</w:t>
      </w:r>
    </w:p>
    <w:p w14:paraId="39B087C5">
      <w:pPr>
        <w:spacing w:before="720" w:after="0"/>
      </w:pPr>
    </w:p>
    <w:tbl>
      <w:tblPr>
        <w:tblStyle w:val="12"/>
        <w:tblW w:w="0" w:type="auto"/>
        <w:jc w:val="center"/>
        <w:tblBorders>
          <w:top w:val="single" w:color="E2E8F0" w:sz="4" w:space="0"/>
          <w:left w:val="none" w:color="auto" w:sz="0" w:space="0"/>
          <w:bottom w:val="single" w:color="E2E8F0" w:sz="4"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4680"/>
        <w:gridCol w:w="4680"/>
      </w:tblGrid>
      <w:tr w14:paraId="2DAF9E8E">
        <w:tblPrEx>
          <w:tblBorders>
            <w:top w:val="single" w:color="E2E8F0" w:sz="4" w:space="0"/>
            <w:left w:val="none" w:color="auto" w:sz="0" w:space="0"/>
            <w:bottom w:val="single" w:color="E2E8F0"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F8FAFC"/>
            <w:tcMar>
              <w:top w:w="120" w:type="dxa"/>
              <w:left w:w="150" w:type="dxa"/>
              <w:bottom w:w="120" w:type="dxa"/>
              <w:right w:w="150" w:type="dxa"/>
            </w:tcMar>
          </w:tcPr>
          <w:p w14:paraId="0073DC51">
            <w:pPr>
              <w:spacing w:before="0" w:after="0"/>
            </w:pPr>
            <w:r>
              <w:rPr>
                <w:rFonts w:ascii="Calibri" w:hAnsi="Calibri"/>
                <w:b/>
                <w:color w:val="1E293B"/>
                <w:sz w:val="18"/>
              </w:rPr>
              <w:t xml:space="preserve">Empresa: </w:t>
            </w:r>
            <w:r>
              <w:rPr>
                <w:rFonts w:ascii="Calibri" w:hAnsi="Calibri"/>
                <w:color w:val="475569"/>
                <w:sz w:val="18"/>
              </w:rPr>
              <w:t>Intereléctricos Group SAS</w:t>
            </w:r>
          </w:p>
        </w:tc>
        <w:tc>
          <w:tcPr>
            <w:tcW w:w="4680" w:type="dxa"/>
            <w:shd w:val="clear" w:color="auto" w:fill="F8FAFC"/>
            <w:tcMar>
              <w:top w:w="120" w:type="dxa"/>
              <w:left w:w="150" w:type="dxa"/>
              <w:bottom w:w="120" w:type="dxa"/>
              <w:right w:w="150" w:type="dxa"/>
            </w:tcMar>
          </w:tcPr>
          <w:p w14:paraId="43356932">
            <w:pPr>
              <w:spacing w:before="0" w:after="0"/>
            </w:pPr>
            <w:r>
              <w:rPr>
                <w:rFonts w:ascii="Calibri" w:hAnsi="Calibri"/>
                <w:b/>
                <w:color w:val="1E293B"/>
                <w:sz w:val="18"/>
              </w:rPr>
              <w:t xml:space="preserve">Proyecto: </w:t>
            </w:r>
            <w:r>
              <w:rPr>
                <w:rFonts w:ascii="Calibri" w:hAnsi="Calibri"/>
                <w:color w:val="475569"/>
                <w:sz w:val="18"/>
              </w:rPr>
              <w:t>Sistema de Bonificaciones en Bodega</w:t>
            </w:r>
          </w:p>
        </w:tc>
      </w:tr>
      <w:tr w14:paraId="53AB395D">
        <w:tblPrEx>
          <w:tblBorders>
            <w:top w:val="single" w:color="E2E8F0" w:sz="4" w:space="0"/>
            <w:left w:val="none" w:color="auto" w:sz="0" w:space="0"/>
            <w:bottom w:val="single" w:color="E2E8F0"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F8FAFC"/>
            <w:tcMar>
              <w:top w:w="120" w:type="dxa"/>
              <w:left w:w="150" w:type="dxa"/>
              <w:bottom w:w="120" w:type="dxa"/>
              <w:right w:w="150" w:type="dxa"/>
            </w:tcMar>
          </w:tcPr>
          <w:p w14:paraId="2DFCF19F">
            <w:pPr>
              <w:spacing w:before="0" w:after="0"/>
            </w:pPr>
            <w:r>
              <w:rPr>
                <w:rFonts w:ascii="Calibri" w:hAnsi="Calibri"/>
                <w:b/>
                <w:color w:val="1E293B"/>
                <w:sz w:val="18"/>
              </w:rPr>
              <w:t xml:space="preserve">Destinatarios: </w:t>
            </w:r>
            <w:r>
              <w:rPr>
                <w:rFonts w:ascii="Calibri" w:hAnsi="Calibri"/>
                <w:color w:val="475569"/>
                <w:sz w:val="18"/>
              </w:rPr>
              <w:t>Despachadores, Auxiliares de Bodega y Supervisión</w:t>
            </w:r>
          </w:p>
        </w:tc>
        <w:tc>
          <w:tcPr>
            <w:tcW w:w="4680" w:type="dxa"/>
            <w:shd w:val="clear" w:color="auto" w:fill="F8FAFC"/>
            <w:tcMar>
              <w:top w:w="120" w:type="dxa"/>
              <w:left w:w="150" w:type="dxa"/>
              <w:bottom w:w="120" w:type="dxa"/>
              <w:right w:w="150" w:type="dxa"/>
            </w:tcMar>
          </w:tcPr>
          <w:p w14:paraId="49F02ED8">
            <w:pPr>
              <w:spacing w:before="0" w:after="0"/>
            </w:pPr>
            <w:r>
              <w:rPr>
                <w:rFonts w:ascii="Calibri" w:hAnsi="Calibri"/>
                <w:b/>
                <w:color w:val="1E293B"/>
                <w:sz w:val="18"/>
              </w:rPr>
              <w:t xml:space="preserve">Software: </w:t>
            </w:r>
            <w:r>
              <w:rPr>
                <w:rFonts w:ascii="Calibri" w:hAnsi="Calibri"/>
                <w:color w:val="475569"/>
                <w:sz w:val="18"/>
              </w:rPr>
              <w:t>AppSheet PWA + Google Sheets Backend</w:t>
            </w:r>
          </w:p>
        </w:tc>
      </w:tr>
      <w:tr w14:paraId="04AE6919">
        <w:tblPrEx>
          <w:tblBorders>
            <w:top w:val="single" w:color="E2E8F0" w:sz="4" w:space="0"/>
            <w:left w:val="none" w:color="auto" w:sz="0" w:space="0"/>
            <w:bottom w:val="single" w:color="E2E8F0" w:sz="4"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F8FAFC"/>
            <w:tcMar>
              <w:top w:w="120" w:type="dxa"/>
              <w:left w:w="150" w:type="dxa"/>
              <w:bottom w:w="120" w:type="dxa"/>
              <w:right w:w="150" w:type="dxa"/>
            </w:tcMar>
          </w:tcPr>
          <w:p w14:paraId="4EAF310F">
            <w:pPr>
              <w:spacing w:before="0" w:after="0"/>
            </w:pPr>
            <w:r>
              <w:rPr>
                <w:rFonts w:ascii="Calibri" w:hAnsi="Calibri"/>
                <w:b/>
                <w:color w:val="1E293B"/>
                <w:sz w:val="18"/>
              </w:rPr>
              <w:t xml:space="preserve">Autor: </w:t>
            </w:r>
            <w:r>
              <w:rPr>
                <w:rFonts w:ascii="Calibri" w:hAnsi="Calibri"/>
                <w:color w:val="475569"/>
                <w:sz w:val="18"/>
              </w:rPr>
              <w:t>Mauricio Sierra — Aprendiz ADSO SENA</w:t>
            </w:r>
          </w:p>
        </w:tc>
        <w:tc>
          <w:tcPr>
            <w:tcW w:w="4680" w:type="dxa"/>
            <w:shd w:val="clear" w:color="auto" w:fill="F8FAFC"/>
            <w:tcMar>
              <w:top w:w="120" w:type="dxa"/>
              <w:left w:w="150" w:type="dxa"/>
              <w:bottom w:w="120" w:type="dxa"/>
              <w:right w:w="150" w:type="dxa"/>
            </w:tcMar>
          </w:tcPr>
          <w:p w14:paraId="439A5772">
            <w:pPr>
              <w:spacing w:before="0" w:after="0"/>
            </w:pPr>
            <w:r>
              <w:rPr>
                <w:rFonts w:ascii="Calibri" w:hAnsi="Calibri"/>
                <w:b/>
                <w:color w:val="1E293B"/>
                <w:sz w:val="18"/>
              </w:rPr>
              <w:t xml:space="preserve">Versión / Fecha: </w:t>
            </w:r>
            <w:r>
              <w:rPr>
                <w:rFonts w:ascii="Calibri" w:hAnsi="Calibri"/>
                <w:color w:val="475569"/>
                <w:sz w:val="18"/>
              </w:rPr>
              <w:t>Versión 2.0 (Producción) | Octubre de 2026</w:t>
            </w:r>
          </w:p>
        </w:tc>
      </w:tr>
    </w:tbl>
    <w:p w14:paraId="1C8D1B65">
      <w:pPr>
        <w:spacing w:before="1280" w:after="0"/>
        <w:jc w:val="center"/>
      </w:pPr>
      <w:r>
        <w:rPr>
          <w:rFonts w:ascii="Calibri" w:hAnsi="Calibri"/>
          <w:color w:val="94A3B8"/>
          <w:sz w:val="17"/>
        </w:rPr>
        <w:t>Documento Oficial de Arquitectura Técnica y Configuración  •  Todos los derechos reservados</w:t>
      </w:r>
    </w:p>
    <w:p w14:paraId="2E6D3D66">
      <w:pPr>
        <w:sectPr>
          <w:headerReference r:id="rId5" w:type="default"/>
          <w:footerReference r:id="rId6" w:type="default"/>
          <w:pgSz w:w="12240" w:h="15840"/>
          <w:pgMar w:top="1440" w:right="1440" w:bottom="1440" w:left="1440" w:header="720" w:footer="720" w:gutter="0"/>
          <w:cols w:space="720" w:num="1"/>
          <w:titlePg/>
          <w:docGrid w:linePitch="360" w:charSpace="0"/>
        </w:sectPr>
      </w:pPr>
    </w:p>
    <w:p w14:paraId="2C5125BC">
      <w:pPr>
        <w:pStyle w:val="67"/>
        <w:keepNext/>
        <w:spacing w:before="160" w:after="280"/>
      </w:pPr>
      <w:r>
        <w:rPr>
          <w:rFonts w:ascii="Calibri" w:hAnsi="Calibri"/>
          <w:b/>
          <w:color w:val="1E293B"/>
          <w:sz w:val="30"/>
        </w:rPr>
        <w:t>TABLA DE CONTENIDO</w:t>
      </w:r>
    </w:p>
    <w:p w14:paraId="24658EF7">
      <w:pPr>
        <w:pStyle w:val="17"/>
        <w:tabs>
          <w:tab w:val="right" w:leader="dot" w:pos="9360"/>
        </w:tabs>
      </w:pPr>
      <w:r>
        <w:fldChar w:fldCharType="begin"/>
      </w:r>
      <w:r>
        <w:instrText xml:space="preserve">TOC \o "1-2" \h \u </w:instrText>
      </w:r>
      <w:r>
        <w:fldChar w:fldCharType="separate"/>
      </w:r>
      <w:r>
        <w:fldChar w:fldCharType="begin"/>
      </w:r>
      <w:r>
        <w:instrText xml:space="preserve"> HYPERLINK \l _Toc28729 </w:instrText>
      </w:r>
      <w:r>
        <w:fldChar w:fldCharType="separate"/>
      </w:r>
      <w:r>
        <w:rPr>
          <w:rFonts w:ascii="Calibri" w:hAnsi="Calibri"/>
        </w:rPr>
        <w:t>1. Introducción, Alcance y Propósito del Sistema</w:t>
      </w:r>
      <w:r>
        <w:tab/>
      </w:r>
      <w:r>
        <w:fldChar w:fldCharType="begin"/>
      </w:r>
      <w:r>
        <w:instrText xml:space="preserve"> PAGEREF _Toc28729 \h </w:instrText>
      </w:r>
      <w:r>
        <w:fldChar w:fldCharType="separate"/>
      </w:r>
      <w:r>
        <w:t>3</w:t>
      </w:r>
      <w:r>
        <w:fldChar w:fldCharType="end"/>
      </w:r>
      <w:r>
        <w:fldChar w:fldCharType="end"/>
      </w:r>
    </w:p>
    <w:p w14:paraId="383723E2">
      <w:pPr>
        <w:pStyle w:val="17"/>
        <w:tabs>
          <w:tab w:val="right" w:leader="dot" w:pos="9360"/>
        </w:tabs>
      </w:pPr>
      <w:r>
        <w:fldChar w:fldCharType="begin"/>
      </w:r>
      <w:r>
        <w:instrText xml:space="preserve"> HYPERLINK \l _Toc1260 </w:instrText>
      </w:r>
      <w:r>
        <w:fldChar w:fldCharType="separate"/>
      </w:r>
      <w:r>
        <w:rPr>
          <w:rFonts w:ascii="Calibri" w:hAnsi="Calibri"/>
        </w:rPr>
        <w:t>2. Interfaz y Menú Principal de Navegación</w:t>
      </w:r>
      <w:r>
        <w:tab/>
      </w:r>
      <w:r>
        <w:fldChar w:fldCharType="begin"/>
      </w:r>
      <w:r>
        <w:instrText xml:space="preserve"> PAGEREF _Toc1260 \h </w:instrText>
      </w:r>
      <w:r>
        <w:fldChar w:fldCharType="separate"/>
      </w:r>
      <w:r>
        <w:t>4</w:t>
      </w:r>
      <w:r>
        <w:fldChar w:fldCharType="end"/>
      </w:r>
      <w:r>
        <w:fldChar w:fldCharType="end"/>
      </w:r>
    </w:p>
    <w:p w14:paraId="1E31C15F">
      <w:pPr>
        <w:pStyle w:val="18"/>
        <w:tabs>
          <w:tab w:val="right" w:leader="dot" w:pos="9360"/>
        </w:tabs>
      </w:pPr>
      <w:r>
        <w:fldChar w:fldCharType="begin"/>
      </w:r>
      <w:r>
        <w:instrText xml:space="preserve"> HYPERLINK \l _Toc2349 </w:instrText>
      </w:r>
      <w:r>
        <w:fldChar w:fldCharType="separate"/>
      </w:r>
      <w:r>
        <w:rPr>
          <w:rFonts w:ascii="Calibri" w:hAnsi="Calibri"/>
        </w:rPr>
        <w:t>2.1. Barra Superior: Estado de Sincronización y Menú del Sistema</w:t>
      </w:r>
      <w:r>
        <w:tab/>
      </w:r>
      <w:r>
        <w:fldChar w:fldCharType="begin"/>
      </w:r>
      <w:r>
        <w:instrText xml:space="preserve"> PAGEREF _Toc2349 \h </w:instrText>
      </w:r>
      <w:r>
        <w:fldChar w:fldCharType="separate"/>
      </w:r>
      <w:r>
        <w:t>4</w:t>
      </w:r>
      <w:r>
        <w:fldChar w:fldCharType="end"/>
      </w:r>
      <w:r>
        <w:fldChar w:fldCharType="end"/>
      </w:r>
    </w:p>
    <w:p w14:paraId="11466A45">
      <w:pPr>
        <w:pStyle w:val="18"/>
        <w:tabs>
          <w:tab w:val="right" w:leader="dot" w:pos="9360"/>
        </w:tabs>
      </w:pPr>
      <w:r>
        <w:fldChar w:fldCharType="begin"/>
      </w:r>
      <w:r>
        <w:instrText xml:space="preserve"> HYPERLINK \l _Toc30925 </w:instrText>
      </w:r>
      <w:r>
        <w:fldChar w:fldCharType="separate"/>
      </w:r>
      <w:r>
        <w:rPr>
          <w:rFonts w:ascii="Calibri" w:hAnsi="Calibri"/>
        </w:rPr>
        <w:t>2.2. Barra Inferior Permanente: Los Tres Módulos de Trabajo</w:t>
      </w:r>
      <w:r>
        <w:tab/>
      </w:r>
      <w:r>
        <w:fldChar w:fldCharType="begin"/>
      </w:r>
      <w:r>
        <w:instrText xml:space="preserve"> PAGEREF _Toc30925 \h </w:instrText>
      </w:r>
      <w:r>
        <w:fldChar w:fldCharType="separate"/>
      </w:r>
      <w:r>
        <w:t>5</w:t>
      </w:r>
      <w:r>
        <w:fldChar w:fldCharType="end"/>
      </w:r>
      <w:r>
        <w:fldChar w:fldCharType="end"/>
      </w:r>
    </w:p>
    <w:p w14:paraId="239FD82B">
      <w:pPr>
        <w:pStyle w:val="17"/>
        <w:tabs>
          <w:tab w:val="right" w:leader="dot" w:pos="9360"/>
        </w:tabs>
      </w:pPr>
      <w:r>
        <w:fldChar w:fldCharType="begin"/>
      </w:r>
      <w:r>
        <w:instrText xml:space="preserve"> HYPERLINK \l _Toc10871 </w:instrText>
      </w:r>
      <w:r>
        <w:fldChar w:fldCharType="separate"/>
      </w:r>
      <w:r>
        <w:rPr>
          <w:rFonts w:ascii="Calibri" w:hAnsi="Calibri"/>
        </w:rPr>
        <w:t>3. Módulo 1: Nuevo Registro (Captura Operativa Continua)</w:t>
      </w:r>
      <w:r>
        <w:tab/>
      </w:r>
      <w:r>
        <w:fldChar w:fldCharType="begin"/>
      </w:r>
      <w:r>
        <w:instrText xml:space="preserve"> PAGEREF _Toc10871 \h </w:instrText>
      </w:r>
      <w:r>
        <w:fldChar w:fldCharType="separate"/>
      </w:r>
      <w:r>
        <w:t>6</w:t>
      </w:r>
      <w:r>
        <w:fldChar w:fldCharType="end"/>
      </w:r>
      <w:r>
        <w:fldChar w:fldCharType="end"/>
      </w:r>
    </w:p>
    <w:p w14:paraId="7B5E6922">
      <w:pPr>
        <w:pStyle w:val="18"/>
        <w:tabs>
          <w:tab w:val="right" w:leader="dot" w:pos="9360"/>
        </w:tabs>
      </w:pPr>
      <w:r>
        <w:fldChar w:fldCharType="begin"/>
      </w:r>
      <w:r>
        <w:instrText xml:space="preserve"> HYPERLINK \l _Toc29384 </w:instrText>
      </w:r>
      <w:r>
        <w:fldChar w:fldCharType="separate"/>
      </w:r>
      <w:r>
        <w:rPr>
          <w:rFonts w:ascii="Calibri" w:hAnsi="Calibri"/>
        </w:rPr>
        <w:t>3.1. Acceso al Formulario de Captura</w:t>
      </w:r>
      <w:r>
        <w:tab/>
      </w:r>
      <w:r>
        <w:fldChar w:fldCharType="begin"/>
      </w:r>
      <w:r>
        <w:instrText xml:space="preserve"> PAGEREF _Toc29384 \h </w:instrText>
      </w:r>
      <w:r>
        <w:fldChar w:fldCharType="separate"/>
      </w:r>
      <w:r>
        <w:t>6</w:t>
      </w:r>
      <w:r>
        <w:fldChar w:fldCharType="end"/>
      </w:r>
      <w:r>
        <w:fldChar w:fldCharType="end"/>
      </w:r>
    </w:p>
    <w:p w14:paraId="16943C2C">
      <w:pPr>
        <w:pStyle w:val="18"/>
        <w:tabs>
          <w:tab w:val="right" w:leader="dot" w:pos="9360"/>
        </w:tabs>
      </w:pPr>
      <w:r>
        <w:fldChar w:fldCharType="begin"/>
      </w:r>
      <w:r>
        <w:instrText xml:space="preserve"> HYPERLINK \l _Toc9496 </w:instrText>
      </w:r>
      <w:r>
        <w:fldChar w:fldCharType="separate"/>
      </w:r>
      <w:r>
        <w:rPr>
          <w:rFonts w:ascii="Calibri" w:hAnsi="Calibri"/>
        </w:rPr>
        <w:t>3.2. Diligenciamiento Paso a Paso de los Campos</w:t>
      </w:r>
      <w:r>
        <w:tab/>
      </w:r>
      <w:r>
        <w:fldChar w:fldCharType="begin"/>
      </w:r>
      <w:r>
        <w:instrText xml:space="preserve"> PAGEREF _Toc9496 \h </w:instrText>
      </w:r>
      <w:r>
        <w:fldChar w:fldCharType="separate"/>
      </w:r>
      <w:r>
        <w:t>7</w:t>
      </w:r>
      <w:r>
        <w:fldChar w:fldCharType="end"/>
      </w:r>
      <w:r>
        <w:fldChar w:fldCharType="end"/>
      </w:r>
    </w:p>
    <w:p w14:paraId="5F0D0682">
      <w:pPr>
        <w:pStyle w:val="18"/>
        <w:tabs>
          <w:tab w:val="right" w:leader="dot" w:pos="9360"/>
        </w:tabs>
      </w:pPr>
      <w:r>
        <w:fldChar w:fldCharType="begin"/>
      </w:r>
      <w:r>
        <w:instrText xml:space="preserve"> HYPERLINK \l _Toc17103 </w:instrText>
      </w:r>
      <w:r>
        <w:fldChar w:fldCharType="separate"/>
      </w:r>
      <w:r>
        <w:rPr>
          <w:rFonts w:ascii="Calibri" w:hAnsi="Calibri"/>
        </w:rPr>
        <w:t>3.3. Control de Validación de Errores y Guardado Continuo</w:t>
      </w:r>
      <w:r>
        <w:tab/>
      </w:r>
      <w:r>
        <w:fldChar w:fldCharType="begin"/>
      </w:r>
      <w:r>
        <w:instrText xml:space="preserve"> PAGEREF _Toc17103 \h </w:instrText>
      </w:r>
      <w:r>
        <w:fldChar w:fldCharType="separate"/>
      </w:r>
      <w:r>
        <w:t>9</w:t>
      </w:r>
      <w:r>
        <w:fldChar w:fldCharType="end"/>
      </w:r>
      <w:r>
        <w:fldChar w:fldCharType="end"/>
      </w:r>
    </w:p>
    <w:p w14:paraId="1077B057">
      <w:pPr>
        <w:pStyle w:val="17"/>
        <w:tabs>
          <w:tab w:val="right" w:leader="dot" w:pos="9360"/>
        </w:tabs>
      </w:pPr>
      <w:r>
        <w:fldChar w:fldCharType="begin"/>
      </w:r>
      <w:r>
        <w:instrText xml:space="preserve"> HYPERLINK \l _Toc2149 </w:instrText>
      </w:r>
      <w:r>
        <w:fldChar w:fldCharType="separate"/>
      </w:r>
      <w:r>
        <w:rPr>
          <w:rFonts w:ascii="Calibri" w:hAnsi="Calibri"/>
        </w:rPr>
        <w:t>4. Módulo 2: Historial Hoy (Auditoría Diaria y Ventanas de Detalle)</w:t>
      </w:r>
      <w:r>
        <w:tab/>
      </w:r>
      <w:r>
        <w:fldChar w:fldCharType="begin"/>
      </w:r>
      <w:r>
        <w:instrText xml:space="preserve"> PAGEREF _Toc2149 \h </w:instrText>
      </w:r>
      <w:r>
        <w:fldChar w:fldCharType="separate"/>
      </w:r>
      <w:r>
        <w:t>12</w:t>
      </w:r>
      <w:r>
        <w:fldChar w:fldCharType="end"/>
      </w:r>
      <w:r>
        <w:fldChar w:fldCharType="end"/>
      </w:r>
    </w:p>
    <w:p w14:paraId="7FE95E55">
      <w:pPr>
        <w:pStyle w:val="18"/>
        <w:tabs>
          <w:tab w:val="right" w:leader="dot" w:pos="9360"/>
        </w:tabs>
      </w:pPr>
      <w:r>
        <w:fldChar w:fldCharType="begin"/>
      </w:r>
      <w:r>
        <w:instrText xml:space="preserve"> HYPERLINK \l _Toc25957 </w:instrText>
      </w:r>
      <w:r>
        <w:fldChar w:fldCharType="separate"/>
      </w:r>
      <w:r>
        <w:rPr>
          <w:rFonts w:ascii="Calibri" w:hAnsi="Calibri"/>
        </w:rPr>
        <w:t>4.1. Acceso a la Lista Diaria de Despachos</w:t>
      </w:r>
      <w:r>
        <w:tab/>
      </w:r>
      <w:r>
        <w:fldChar w:fldCharType="begin"/>
      </w:r>
      <w:r>
        <w:instrText xml:space="preserve"> PAGEREF _Toc25957 \h </w:instrText>
      </w:r>
      <w:r>
        <w:fldChar w:fldCharType="separate"/>
      </w:r>
      <w:r>
        <w:t>12</w:t>
      </w:r>
      <w:r>
        <w:fldChar w:fldCharType="end"/>
      </w:r>
      <w:r>
        <w:fldChar w:fldCharType="end"/>
      </w:r>
    </w:p>
    <w:p w14:paraId="525EEA91">
      <w:pPr>
        <w:pStyle w:val="18"/>
        <w:tabs>
          <w:tab w:val="right" w:leader="dot" w:pos="9360"/>
        </w:tabs>
      </w:pPr>
      <w:r>
        <w:fldChar w:fldCharType="begin"/>
      </w:r>
      <w:r>
        <w:instrText xml:space="preserve"> HYPERLINK \l _Toc26443 </w:instrText>
      </w:r>
      <w:r>
        <w:fldChar w:fldCharType="separate"/>
      </w:r>
      <w:r>
        <w:rPr>
          <w:rFonts w:ascii="Calibri" w:hAnsi="Calibri"/>
        </w:rPr>
        <w:t>4.2. Ventana de Detalle del Despacho</w:t>
      </w:r>
      <w:r>
        <w:tab/>
      </w:r>
      <w:r>
        <w:fldChar w:fldCharType="begin"/>
      </w:r>
      <w:r>
        <w:instrText xml:space="preserve"> PAGEREF _Toc26443 \h </w:instrText>
      </w:r>
      <w:r>
        <w:fldChar w:fldCharType="separate"/>
      </w:r>
      <w:r>
        <w:t>13</w:t>
      </w:r>
      <w:r>
        <w:fldChar w:fldCharType="end"/>
      </w:r>
      <w:r>
        <w:fldChar w:fldCharType="end"/>
      </w:r>
    </w:p>
    <w:p w14:paraId="7B847B2D">
      <w:pPr>
        <w:pStyle w:val="18"/>
        <w:tabs>
          <w:tab w:val="right" w:leader="dot" w:pos="9360"/>
        </w:tabs>
      </w:pPr>
      <w:r>
        <w:fldChar w:fldCharType="begin"/>
      </w:r>
      <w:r>
        <w:instrText xml:space="preserve"> HYPERLINK \l _Toc28754 </w:instrText>
      </w:r>
      <w:r>
        <w:fldChar w:fldCharType="separate"/>
      </w:r>
      <w:r>
        <w:rPr>
          <w:rFonts w:ascii="Calibri" w:hAnsi="Calibri"/>
        </w:rPr>
        <w:t>4.3. Regla de Seguridad: Ventana de Autocorrección de 15 Minutos</w:t>
      </w:r>
      <w:r>
        <w:tab/>
      </w:r>
      <w:r>
        <w:fldChar w:fldCharType="begin"/>
      </w:r>
      <w:r>
        <w:instrText xml:space="preserve"> PAGEREF _Toc28754 \h </w:instrText>
      </w:r>
      <w:r>
        <w:fldChar w:fldCharType="separate"/>
      </w:r>
      <w:r>
        <w:t>13</w:t>
      </w:r>
      <w:r>
        <w:fldChar w:fldCharType="end"/>
      </w:r>
      <w:r>
        <w:fldChar w:fldCharType="end"/>
      </w:r>
    </w:p>
    <w:p w14:paraId="0AB8493E">
      <w:pPr>
        <w:pStyle w:val="18"/>
        <w:tabs>
          <w:tab w:val="right" w:leader="dot" w:pos="9360"/>
        </w:tabs>
      </w:pPr>
      <w:r>
        <w:fldChar w:fldCharType="begin"/>
      </w:r>
      <w:r>
        <w:instrText xml:space="preserve"> HYPERLINK \l _Toc23746 </w:instrText>
      </w:r>
      <w:r>
        <w:fldChar w:fldCharType="separate"/>
      </w:r>
      <w:r>
        <w:rPr>
          <w:rFonts w:ascii="Calibri" w:hAnsi="Calibri"/>
        </w:rPr>
        <w:t>4.4. Ficha y Trazabilidad de Colaborador</w:t>
      </w:r>
      <w:r>
        <w:tab/>
      </w:r>
      <w:r>
        <w:fldChar w:fldCharType="begin"/>
      </w:r>
      <w:r>
        <w:instrText xml:space="preserve"> PAGEREF _Toc23746 \h </w:instrText>
      </w:r>
      <w:r>
        <w:fldChar w:fldCharType="separate"/>
      </w:r>
      <w:r>
        <w:t>15</w:t>
      </w:r>
      <w:r>
        <w:fldChar w:fldCharType="end"/>
      </w:r>
      <w:r>
        <w:fldChar w:fldCharType="end"/>
      </w:r>
    </w:p>
    <w:p w14:paraId="48A4519B">
      <w:pPr>
        <w:pStyle w:val="17"/>
        <w:tabs>
          <w:tab w:val="right" w:leader="dot" w:pos="9360"/>
        </w:tabs>
      </w:pPr>
      <w:r>
        <w:fldChar w:fldCharType="begin"/>
      </w:r>
      <w:r>
        <w:instrText xml:space="preserve"> HYPERLINK \l _Toc9684 </w:instrText>
      </w:r>
      <w:r>
        <w:fldChar w:fldCharType="separate"/>
      </w:r>
      <w:r>
        <w:rPr>
          <w:rFonts w:ascii="Calibri" w:hAnsi="Calibri"/>
        </w:rPr>
        <w:t>5. Módulo 3: Liquidación (Consulta Táctil Jerárquica y Ficha Financiera)</w:t>
      </w:r>
      <w:r>
        <w:tab/>
      </w:r>
      <w:r>
        <w:fldChar w:fldCharType="begin"/>
      </w:r>
      <w:r>
        <w:instrText xml:space="preserve"> PAGEREF _Toc9684 \h </w:instrText>
      </w:r>
      <w:r>
        <w:fldChar w:fldCharType="separate"/>
      </w:r>
      <w:r>
        <w:t>17</w:t>
      </w:r>
      <w:r>
        <w:fldChar w:fldCharType="end"/>
      </w:r>
      <w:r>
        <w:fldChar w:fldCharType="end"/>
      </w:r>
    </w:p>
    <w:p w14:paraId="2BC57799">
      <w:pPr>
        <w:pStyle w:val="18"/>
        <w:tabs>
          <w:tab w:val="right" w:leader="dot" w:pos="9360"/>
        </w:tabs>
      </w:pPr>
      <w:r>
        <w:fldChar w:fldCharType="begin"/>
      </w:r>
      <w:r>
        <w:instrText xml:space="preserve"> HYPERLINK \l _Toc28839 </w:instrText>
      </w:r>
      <w:r>
        <w:fldChar w:fldCharType="separate"/>
      </w:r>
      <w:r>
        <w:rPr>
          <w:rFonts w:ascii="Calibri" w:hAnsi="Calibri"/>
        </w:rPr>
        <w:t>5.1. Acceso a la Pestaña Liquidación</w:t>
      </w:r>
      <w:r>
        <w:tab/>
      </w:r>
      <w:r>
        <w:fldChar w:fldCharType="begin"/>
      </w:r>
      <w:r>
        <w:instrText xml:space="preserve"> PAGEREF _Toc28839 \h </w:instrText>
      </w:r>
      <w:r>
        <w:fldChar w:fldCharType="separate"/>
      </w:r>
      <w:r>
        <w:t>17</w:t>
      </w:r>
      <w:r>
        <w:fldChar w:fldCharType="end"/>
      </w:r>
      <w:r>
        <w:fldChar w:fldCharType="end"/>
      </w:r>
    </w:p>
    <w:p w14:paraId="1669BA75">
      <w:pPr>
        <w:pStyle w:val="18"/>
        <w:tabs>
          <w:tab w:val="right" w:leader="dot" w:pos="9360"/>
        </w:tabs>
      </w:pPr>
      <w:r>
        <w:fldChar w:fldCharType="begin"/>
      </w:r>
      <w:r>
        <w:instrText xml:space="preserve"> HYPERLINK \l _Toc27269 </w:instrText>
      </w:r>
      <w:r>
        <w:fldChar w:fldCharType="separate"/>
      </w:r>
      <w:r>
        <w:rPr>
          <w:rFonts w:ascii="Calibri" w:hAnsi="Calibri"/>
        </w:rPr>
        <w:t>5.2. Navegación Jerárquica Táctil</w:t>
      </w:r>
      <w:r>
        <w:tab/>
      </w:r>
      <w:r>
        <w:fldChar w:fldCharType="begin"/>
      </w:r>
      <w:r>
        <w:instrText xml:space="preserve"> PAGEREF _Toc27269 \h </w:instrText>
      </w:r>
      <w:r>
        <w:fldChar w:fldCharType="separate"/>
      </w:r>
      <w:r>
        <w:t>17</w:t>
      </w:r>
      <w:r>
        <w:fldChar w:fldCharType="end"/>
      </w:r>
      <w:r>
        <w:fldChar w:fldCharType="end"/>
      </w:r>
    </w:p>
    <w:p w14:paraId="13C48CDB">
      <w:pPr>
        <w:pStyle w:val="18"/>
        <w:tabs>
          <w:tab w:val="right" w:leader="dot" w:pos="9360"/>
        </w:tabs>
      </w:pPr>
      <w:r>
        <w:fldChar w:fldCharType="begin"/>
      </w:r>
      <w:r>
        <w:instrText xml:space="preserve"> HYPERLINK \l _Toc18582 </w:instrText>
      </w:r>
      <w:r>
        <w:fldChar w:fldCharType="separate"/>
      </w:r>
      <w:r>
        <w:rPr>
          <w:rFonts w:ascii="Calibri" w:hAnsi="Calibri"/>
        </w:rPr>
        <w:t>5.3. Tabla Quincenal Consolidada de Desempeño</w:t>
      </w:r>
      <w:r>
        <w:tab/>
      </w:r>
      <w:r>
        <w:fldChar w:fldCharType="begin"/>
      </w:r>
      <w:r>
        <w:instrText xml:space="preserve"> PAGEREF _Toc18582 \h </w:instrText>
      </w:r>
      <w:r>
        <w:fldChar w:fldCharType="separate"/>
      </w:r>
      <w:r>
        <w:t>18</w:t>
      </w:r>
      <w:r>
        <w:fldChar w:fldCharType="end"/>
      </w:r>
      <w:r>
        <w:fldChar w:fldCharType="end"/>
      </w:r>
    </w:p>
    <w:p w14:paraId="5869CB9E">
      <w:pPr>
        <w:pStyle w:val="18"/>
        <w:tabs>
          <w:tab w:val="right" w:leader="dot" w:pos="9360"/>
        </w:tabs>
      </w:pPr>
      <w:r>
        <w:fldChar w:fldCharType="begin"/>
      </w:r>
      <w:r>
        <w:instrText xml:space="preserve"> HYPERLINK \l _Toc31570 </w:instrText>
      </w:r>
      <w:r>
        <w:fldChar w:fldCharType="separate"/>
      </w:r>
      <w:r>
        <w:rPr>
          <w:rFonts w:ascii="Calibri" w:hAnsi="Calibri"/>
        </w:rPr>
        <w:t>5.4. Ficha Analítica de Liquidación Individual</w:t>
      </w:r>
      <w:r>
        <w:tab/>
      </w:r>
      <w:r>
        <w:fldChar w:fldCharType="begin"/>
      </w:r>
      <w:r>
        <w:instrText xml:space="preserve"> PAGEREF _Toc31570 \h </w:instrText>
      </w:r>
      <w:r>
        <w:fldChar w:fldCharType="separate"/>
      </w:r>
      <w:r>
        <w:t>19</w:t>
      </w:r>
      <w:r>
        <w:fldChar w:fldCharType="end"/>
      </w:r>
      <w:r>
        <w:fldChar w:fldCharType="end"/>
      </w:r>
    </w:p>
    <w:p w14:paraId="62EB4D38">
      <w:pPr>
        <w:pStyle w:val="17"/>
        <w:tabs>
          <w:tab w:val="right" w:leader="dot" w:pos="9360"/>
        </w:tabs>
      </w:pPr>
      <w:r>
        <w:fldChar w:fldCharType="begin"/>
      </w:r>
      <w:r>
        <w:instrText xml:space="preserve"> HYPERLINK \l _Toc11396 </w:instrText>
      </w:r>
      <w:r>
        <w:fldChar w:fldCharType="separate"/>
      </w:r>
      <w:r>
        <w:rPr>
          <w:rFonts w:ascii="Calibri" w:hAnsi="Calibri"/>
        </w:rPr>
        <w:t>6. Matriz de Parámetros Económicos y Calibración Financiera</w:t>
      </w:r>
      <w:r>
        <w:tab/>
      </w:r>
      <w:r>
        <w:fldChar w:fldCharType="begin"/>
      </w:r>
      <w:r>
        <w:instrText xml:space="preserve"> PAGEREF _Toc11396 \h </w:instrText>
      </w:r>
      <w:r>
        <w:fldChar w:fldCharType="separate"/>
      </w:r>
      <w:r>
        <w:t>20</w:t>
      </w:r>
      <w:r>
        <w:fldChar w:fldCharType="end"/>
      </w:r>
      <w:r>
        <w:fldChar w:fldCharType="end"/>
      </w:r>
    </w:p>
    <w:p w14:paraId="4E2F7228">
      <w:pPr>
        <w:pStyle w:val="17"/>
        <w:tabs>
          <w:tab w:val="right" w:leader="dot" w:pos="9360"/>
        </w:tabs>
      </w:pPr>
      <w:r>
        <w:fldChar w:fldCharType="begin"/>
      </w:r>
      <w:r>
        <w:instrText xml:space="preserve"> HYPERLINK \l _Toc27693 </w:instrText>
      </w:r>
      <w:r>
        <w:fldChar w:fldCharType="separate"/>
      </w:r>
      <w:r>
        <w:rPr>
          <w:rFonts w:ascii="Calibri" w:hAnsi="Calibri"/>
        </w:rPr>
        <w:t>7. Preguntas Frecuentes y Protocolos de Incidencias Operativas</w:t>
      </w:r>
      <w:r>
        <w:tab/>
      </w:r>
      <w:r>
        <w:fldChar w:fldCharType="begin"/>
      </w:r>
      <w:r>
        <w:instrText xml:space="preserve"> PAGEREF _Toc27693 \h </w:instrText>
      </w:r>
      <w:r>
        <w:fldChar w:fldCharType="separate"/>
      </w:r>
      <w:r>
        <w:t>21</w:t>
      </w:r>
      <w:r>
        <w:fldChar w:fldCharType="end"/>
      </w:r>
      <w:r>
        <w:fldChar w:fldCharType="end"/>
      </w:r>
    </w:p>
    <w:p w14:paraId="78DE52E1">
      <w:pPr>
        <w:pStyle w:val="18"/>
        <w:tabs>
          <w:tab w:val="right" w:leader="dot" w:pos="9360"/>
        </w:tabs>
      </w:pPr>
      <w:r>
        <w:fldChar w:fldCharType="begin"/>
      </w:r>
      <w:r>
        <w:instrText xml:space="preserve"> HYPERLINK \l _Toc25889 </w:instrText>
      </w:r>
      <w:r>
        <w:fldChar w:fldCharType="separate"/>
      </w:r>
      <w:r>
        <w:rPr>
          <w:rFonts w:ascii="Calibri" w:hAnsi="Calibri"/>
        </w:rPr>
        <w:t>¿Qué ocurre si la bodega pierde la conexión a Internet o WiFi?</w:t>
      </w:r>
      <w:r>
        <w:tab/>
      </w:r>
      <w:r>
        <w:fldChar w:fldCharType="begin"/>
      </w:r>
      <w:r>
        <w:instrText xml:space="preserve"> PAGEREF _Toc25889 \h </w:instrText>
      </w:r>
      <w:r>
        <w:fldChar w:fldCharType="separate"/>
      </w:r>
      <w:r>
        <w:t>21</w:t>
      </w:r>
      <w:r>
        <w:fldChar w:fldCharType="end"/>
      </w:r>
      <w:r>
        <w:fldChar w:fldCharType="end"/>
      </w:r>
    </w:p>
    <w:p w14:paraId="3BE78FB1">
      <w:pPr>
        <w:pStyle w:val="18"/>
        <w:tabs>
          <w:tab w:val="right" w:leader="dot" w:pos="9360"/>
        </w:tabs>
      </w:pPr>
      <w:r>
        <w:fldChar w:fldCharType="begin"/>
      </w:r>
      <w:r>
        <w:instrText xml:space="preserve"> HYPERLINK \l _Toc32108 </w:instrText>
      </w:r>
      <w:r>
        <w:fldChar w:fldCharType="separate"/>
      </w:r>
      <w:r>
        <w:rPr>
          <w:rFonts w:ascii="Calibri" w:hAnsi="Calibri"/>
        </w:rPr>
        <w:t>¿Qué se debe hacer si se detecta un error en un despacho después de los 15 minutos?</w:t>
      </w:r>
      <w:r>
        <w:tab/>
      </w:r>
      <w:r>
        <w:fldChar w:fldCharType="begin"/>
      </w:r>
      <w:r>
        <w:instrText xml:space="preserve"> PAGEREF _Toc32108 \h </w:instrText>
      </w:r>
      <w:r>
        <w:fldChar w:fldCharType="separate"/>
      </w:r>
      <w:r>
        <w:t>21</w:t>
      </w:r>
      <w:r>
        <w:fldChar w:fldCharType="end"/>
      </w:r>
      <w:r>
        <w:fldChar w:fldCharType="end"/>
      </w:r>
    </w:p>
    <w:p w14:paraId="4211866E">
      <w:pPr>
        <w:pStyle w:val="18"/>
        <w:tabs>
          <w:tab w:val="right" w:leader="dot" w:pos="9360"/>
        </w:tabs>
      </w:pPr>
      <w:r>
        <w:fldChar w:fldCharType="begin"/>
      </w:r>
      <w:r>
        <w:instrText xml:space="preserve"> HYPERLINK \l _Toc27208 </w:instrText>
      </w:r>
      <w:r>
        <w:fldChar w:fldCharType="separate"/>
      </w:r>
      <w:r>
        <w:rPr>
          <w:rFonts w:ascii="Calibri" w:hAnsi="Calibri"/>
        </w:rPr>
        <w:t>¿Por qué un auxiliar no aparece en la tabla quincenal o figura con Total BONO $0?</w:t>
      </w:r>
      <w:r>
        <w:tab/>
      </w:r>
      <w:r>
        <w:fldChar w:fldCharType="begin"/>
      </w:r>
      <w:r>
        <w:instrText xml:space="preserve"> PAGEREF _Toc27208 \h </w:instrText>
      </w:r>
      <w:r>
        <w:fldChar w:fldCharType="separate"/>
      </w:r>
      <w:r>
        <w:t>21</w:t>
      </w:r>
      <w:r>
        <w:fldChar w:fldCharType="end"/>
      </w:r>
      <w:r>
        <w:fldChar w:fldCharType="end"/>
      </w:r>
    </w:p>
    <w:p w14:paraId="5A4E827E">
      <w:pPr>
        <w:pStyle w:val="18"/>
        <w:tabs>
          <w:tab w:val="right" w:leader="dot" w:pos="9360"/>
        </w:tabs>
      </w:pPr>
      <w:r>
        <w:fldChar w:fldCharType="begin"/>
      </w:r>
      <w:r>
        <w:instrText xml:space="preserve"> HYPERLINK \l _Toc1258 </w:instrText>
      </w:r>
      <w:r>
        <w:fldChar w:fldCharType="separate"/>
      </w:r>
      <w:r>
        <w:rPr>
          <w:rFonts w:ascii="Calibri" w:hAnsi="Calibri"/>
        </w:rPr>
        <w:t>¿Dónde solicitar soporte técnico?</w:t>
      </w:r>
      <w:r>
        <w:tab/>
      </w:r>
      <w:r>
        <w:fldChar w:fldCharType="begin"/>
      </w:r>
      <w:r>
        <w:instrText xml:space="preserve"> PAGEREF _Toc1258 \h </w:instrText>
      </w:r>
      <w:r>
        <w:fldChar w:fldCharType="separate"/>
      </w:r>
      <w:r>
        <w:t>21</w:t>
      </w:r>
      <w:r>
        <w:fldChar w:fldCharType="end"/>
      </w:r>
      <w:r>
        <w:fldChar w:fldCharType="end"/>
      </w:r>
    </w:p>
    <w:p w14:paraId="7171D903">
      <w:pPr>
        <w:spacing w:before="0" w:after="160"/>
      </w:pPr>
      <w:r>
        <w:fldChar w:fldCharType="end"/>
      </w:r>
    </w:p>
    <w:p w14:paraId="5861FEDC">
      <w:r>
        <w:br w:type="page"/>
      </w:r>
    </w:p>
    <w:p w14:paraId="54DE47FB">
      <w:pPr>
        <w:pStyle w:val="2"/>
        <w:keepNext/>
        <w:spacing w:before="360" w:after="160"/>
      </w:pPr>
      <w:bookmarkStart w:id="0" w:name="_Toc28729"/>
      <w:r>
        <w:rPr>
          <w:rFonts w:ascii="Calibri" w:hAnsi="Calibri"/>
          <w:b/>
          <w:color w:val="1E293B"/>
          <w:sz w:val="30"/>
        </w:rPr>
        <w:t>1. Introducción, Alcance y Propósito del Sistema</w:t>
      </w:r>
      <w:bookmarkEnd w:id="0"/>
    </w:p>
    <w:p w14:paraId="6FC0B0FB">
      <w:pPr>
        <w:spacing w:before="0" w:after="100" w:line="276" w:lineRule="auto"/>
      </w:pPr>
      <w:r>
        <w:rPr>
          <w:rFonts w:ascii="Calibri" w:hAnsi="Calibri"/>
          <w:b w:val="0"/>
          <w:i w:val="0"/>
          <w:color w:val="1F2937"/>
          <w:sz w:val="21"/>
        </w:rPr>
        <w:t xml:space="preserve">El aplicativo móvil </w:t>
      </w:r>
      <w:r>
        <w:rPr>
          <w:rFonts w:ascii="Calibri" w:hAnsi="Calibri"/>
          <w:b/>
          <w:i w:val="0"/>
          <w:color w:val="1F2937"/>
          <w:sz w:val="21"/>
        </w:rPr>
        <w:t>BONIFICACIONES</w:t>
      </w:r>
      <w:r>
        <w:rPr>
          <w:rFonts w:ascii="Calibri" w:hAnsi="Calibri"/>
          <w:b w:val="0"/>
          <w:i w:val="0"/>
          <w:color w:val="1F2937"/>
          <w:sz w:val="21"/>
        </w:rPr>
        <w:t xml:space="preserve"> es la herramienta digital oficial de </w:t>
      </w:r>
      <w:r>
        <w:rPr>
          <w:rFonts w:ascii="Calibri" w:hAnsi="Calibri"/>
          <w:b/>
          <w:i w:val="0"/>
          <w:color w:val="1F2937"/>
          <w:sz w:val="21"/>
        </w:rPr>
        <w:t>Intereléctricos Group SAS</w:t>
      </w:r>
      <w:r>
        <w:rPr>
          <w:rFonts w:ascii="Calibri" w:hAnsi="Calibri"/>
          <w:b w:val="0"/>
          <w:i w:val="0"/>
          <w:color w:val="1F2937"/>
          <w:sz w:val="21"/>
        </w:rPr>
        <w:t xml:space="preserve"> diseñada para estandarizar, registrar y auditar en tiempo real el desempeño operativo en la zona de despachos y alistamiento de bodega. Sustituye integralmente el antiguo conteo por rayas en tableros físicos, garantizando que a cada colaborador se le reconozca equitativamente tanto el </w:t>
      </w:r>
      <w:r>
        <w:rPr>
          <w:rFonts w:ascii="Calibri" w:hAnsi="Calibri"/>
          <w:b/>
          <w:i w:val="0"/>
          <w:color w:val="1F2937"/>
          <w:sz w:val="21"/>
        </w:rPr>
        <w:t>volumen documental procesado</w:t>
      </w:r>
      <w:r>
        <w:rPr>
          <w:rFonts w:ascii="Calibri" w:hAnsi="Calibri"/>
          <w:b w:val="0"/>
          <w:i w:val="0"/>
          <w:color w:val="1F2937"/>
          <w:sz w:val="21"/>
        </w:rPr>
        <w:t xml:space="preserve"> (complejidad y densidad de líneas por comprobante) como el </w:t>
      </w:r>
      <w:r>
        <w:rPr>
          <w:rFonts w:ascii="Calibri" w:hAnsi="Calibri"/>
          <w:b/>
          <w:i w:val="0"/>
          <w:color w:val="1F2937"/>
          <w:sz w:val="21"/>
        </w:rPr>
        <w:t>desgaste físico real</w:t>
      </w:r>
      <w:r>
        <w:rPr>
          <w:rFonts w:ascii="Calibri" w:hAnsi="Calibri"/>
          <w:b w:val="0"/>
          <w:i w:val="0"/>
          <w:color w:val="1F2937"/>
          <w:sz w:val="21"/>
        </w:rPr>
        <w:t xml:space="preserve"> (cortes de cable conductor, cargue de tubería pesada, manipulación de bobinas y uso de estibadores o maquinaria), blindando la exactitud del despacho y garantizando total transparencia financiera.</w:t>
      </w:r>
    </w:p>
    <w:p w14:paraId="48D350CA">
      <w:pPr>
        <w:spacing w:before="0" w:after="100" w:line="276" w:lineRule="auto"/>
      </w:pPr>
      <w:r>
        <w:rPr>
          <w:rFonts w:ascii="Calibri" w:hAnsi="Calibri"/>
          <w:b w:val="0"/>
          <w:i w:val="0"/>
          <w:color w:val="1F2937"/>
          <w:sz w:val="21"/>
        </w:rPr>
        <w:t xml:space="preserve">En su </w:t>
      </w:r>
      <w:r>
        <w:rPr>
          <w:rFonts w:ascii="Calibri" w:hAnsi="Calibri"/>
          <w:b/>
          <w:i w:val="0"/>
          <w:color w:val="1F2937"/>
          <w:sz w:val="21"/>
        </w:rPr>
        <w:t>Versión 2.0</w:t>
      </w:r>
      <w:r>
        <w:rPr>
          <w:rFonts w:ascii="Calibri" w:hAnsi="Calibri"/>
          <w:b w:val="0"/>
          <w:i w:val="0"/>
          <w:color w:val="1F2937"/>
          <w:sz w:val="21"/>
        </w:rPr>
        <w:t>, el aplicativo incorpora una arquitectura orientada a la ergonomía táctil en bodega y la agilidad de digitación:</w:t>
      </w:r>
    </w:p>
    <w:p w14:paraId="297B96CB">
      <w:pPr>
        <w:pStyle w:val="31"/>
        <w:spacing w:before="0" w:after="50" w:line="276" w:lineRule="auto"/>
        <w:ind w:left="360"/>
      </w:pPr>
      <w:r>
        <w:rPr>
          <w:rFonts w:ascii="Calibri" w:hAnsi="Calibri"/>
          <w:b/>
          <w:i w:val="0"/>
          <w:color w:val="1F2937"/>
          <w:sz w:val="21"/>
        </w:rPr>
        <w:t>Botonera de tipos y teclado numérico puro:</w:t>
      </w:r>
      <w:r>
        <w:rPr>
          <w:rFonts w:ascii="Calibri" w:hAnsi="Calibri"/>
          <w:b w:val="0"/>
          <w:i w:val="0"/>
          <w:color w:val="1F2937"/>
          <w:sz w:val="21"/>
        </w:rPr>
        <w:t xml:space="preserve"> Separación física del tipo de comprobante (</w:t>
      </w:r>
      <w:r>
        <w:rPr>
          <w:rFonts w:ascii="Calibri" w:hAnsi="Calibri"/>
          <w:b/>
          <w:i w:val="0"/>
          <w:color w:val="1F2937"/>
          <w:sz w:val="21"/>
        </w:rPr>
        <w:t>IC</w:t>
      </w:r>
      <w:r>
        <w:rPr>
          <w:rFonts w:ascii="Calibri" w:hAnsi="Calibri"/>
          <w:b w:val="0"/>
          <w:i w:val="0"/>
          <w:color w:val="1F2937"/>
          <w:sz w:val="21"/>
        </w:rPr>
        <w:t xml:space="preserve">, </w:t>
      </w:r>
      <w:r>
        <w:rPr>
          <w:rFonts w:ascii="Calibri" w:hAnsi="Calibri"/>
          <w:b/>
          <w:i w:val="0"/>
          <w:color w:val="1F2937"/>
          <w:sz w:val="21"/>
        </w:rPr>
        <w:t>DP</w:t>
      </w:r>
      <w:r>
        <w:rPr>
          <w:rFonts w:ascii="Calibri" w:hAnsi="Calibri"/>
          <w:b w:val="0"/>
          <w:i w:val="0"/>
          <w:color w:val="1F2937"/>
          <w:sz w:val="21"/>
        </w:rPr>
        <w:t xml:space="preserve">, </w:t>
      </w:r>
      <w:r>
        <w:rPr>
          <w:rFonts w:ascii="Calibri" w:hAnsi="Calibri"/>
          <w:b/>
          <w:i w:val="0"/>
          <w:color w:val="1F2937"/>
          <w:sz w:val="21"/>
        </w:rPr>
        <w:t>IR</w:t>
      </w:r>
      <w:r>
        <w:rPr>
          <w:rFonts w:ascii="Calibri" w:hAnsi="Calibri"/>
          <w:b w:val="0"/>
          <w:i w:val="0"/>
          <w:color w:val="1F2937"/>
          <w:sz w:val="21"/>
        </w:rPr>
        <w:t>) y el número consecutivo, forzando la apertura inmediata del teclado numérico grande de Android para digitar sin alternar entre modos de letras y números.</w:t>
      </w:r>
    </w:p>
    <w:p w14:paraId="48B0A8A9">
      <w:pPr>
        <w:pStyle w:val="31"/>
        <w:spacing w:before="0" w:after="50" w:line="276" w:lineRule="auto"/>
        <w:ind w:left="360"/>
      </w:pPr>
      <w:r>
        <w:rPr>
          <w:rFonts w:ascii="Calibri" w:hAnsi="Calibri"/>
          <w:b/>
          <w:i w:val="0"/>
          <w:color w:val="1F2937"/>
          <w:sz w:val="21"/>
        </w:rPr>
        <w:t>Flujo de recarga continua:</w:t>
      </w:r>
      <w:r>
        <w:rPr>
          <w:rFonts w:ascii="Calibri" w:hAnsi="Calibri"/>
          <w:b w:val="0"/>
          <w:i w:val="0"/>
          <w:color w:val="1F2937"/>
          <w:sz w:val="21"/>
        </w:rPr>
        <w:t xml:space="preserve"> El formulario se limpia automáticamente tras guardar cada comprobante y permanece en pantalla (apertura continua automática), eliminando pulsaciones innecesarias durante los picos de trabajo en mostrador.</w:t>
      </w:r>
    </w:p>
    <w:p w14:paraId="105F09F1">
      <w:pPr>
        <w:pStyle w:val="31"/>
        <w:spacing w:before="0" w:after="50" w:line="276" w:lineRule="auto"/>
        <w:ind w:left="360"/>
      </w:pPr>
      <w:r>
        <w:rPr>
          <w:rFonts w:ascii="Calibri" w:hAnsi="Calibri"/>
          <w:b/>
          <w:i w:val="0"/>
          <w:color w:val="1F2937"/>
          <w:sz w:val="21"/>
        </w:rPr>
        <w:t>Navegación jerárquica táctil:</w:t>
      </w:r>
      <w:r>
        <w:rPr>
          <w:rFonts w:ascii="Calibri" w:hAnsi="Calibri"/>
          <w:b w:val="0"/>
          <w:i w:val="0"/>
          <w:color w:val="1F2937"/>
          <w:sz w:val="21"/>
        </w:rPr>
        <w:t xml:space="preserve"> Módulo de liquidación unificado que permite consultar el desempeño por Año, Mes y Quincena mediante toques sucesivos en pantalla, suprimiendo selectores de calendario lentos o propensos a error.</w:t>
      </w:r>
    </w:p>
    <w:p w14:paraId="5CF5323D">
      <w:pPr>
        <w:pStyle w:val="31"/>
        <w:spacing w:before="0" w:after="50" w:line="276" w:lineRule="auto"/>
        <w:ind w:left="360"/>
      </w:pPr>
      <w:r>
        <w:rPr>
          <w:rFonts w:ascii="Calibri" w:hAnsi="Calibri"/>
          <w:b/>
          <w:i w:val="0"/>
          <w:color w:val="1F2937"/>
          <w:sz w:val="21"/>
        </w:rPr>
        <w:t>Auditoría de 15 minutos y congelamiento:</w:t>
      </w:r>
      <w:r>
        <w:rPr>
          <w:rFonts w:ascii="Calibri" w:hAnsi="Calibri"/>
          <w:b w:val="0"/>
          <w:i w:val="0"/>
          <w:color w:val="1F2937"/>
          <w:sz w:val="21"/>
        </w:rPr>
        <w:t xml:space="preserve"> Ventana de autocorrección estricta de 15 minutos por registro y bloqueo total de eliminación de datos para proteger la integridad histórica de la información.</w:t>
      </w:r>
      <w:bookmarkStart w:id="1" w:name="_Toc1260"/>
    </w:p>
    <w:p w14:paraId="22D97196">
      <w:pPr>
        <w:rPr>
          <w:rFonts w:ascii="Calibri" w:hAnsi="Calibri"/>
          <w:b/>
          <w:color w:val="1E293B"/>
          <w:sz w:val="30"/>
        </w:rPr>
      </w:pPr>
      <w:r>
        <w:rPr>
          <w:rFonts w:ascii="Calibri" w:hAnsi="Calibri"/>
          <w:b/>
          <w:color w:val="1E293B"/>
          <w:sz w:val="30"/>
        </w:rPr>
        <w:br w:type="page"/>
      </w:r>
    </w:p>
    <w:p w14:paraId="7DA2DA0E">
      <w:pPr>
        <w:pStyle w:val="31"/>
        <w:numPr>
          <w:numId w:val="0"/>
        </w:numPr>
        <w:spacing w:before="0" w:after="50" w:line="276" w:lineRule="auto"/>
        <w:ind w:leftChars="0"/>
      </w:pPr>
      <w:r>
        <w:rPr>
          <w:rFonts w:ascii="Calibri" w:hAnsi="Calibri"/>
          <w:b/>
          <w:color w:val="1E293B"/>
          <w:sz w:val="30"/>
        </w:rPr>
        <w:t>2. Interfaz y Menú Principal de Navegación</w:t>
      </w:r>
      <w:bookmarkEnd w:id="1"/>
    </w:p>
    <w:p w14:paraId="4241BEC6">
      <w:pPr>
        <w:spacing w:before="0" w:after="100" w:line="276" w:lineRule="auto"/>
      </w:pPr>
      <w:r>
        <w:rPr>
          <w:rFonts w:ascii="Calibri" w:hAnsi="Calibri"/>
          <w:b w:val="0"/>
          <w:i w:val="0"/>
          <w:color w:val="1F2937"/>
          <w:sz w:val="21"/>
        </w:rPr>
        <w:t>El aplicativo funciona como una aplicación web progresiva (PWA) de alto rendimiento, optimizada para terminales móviles Android de bodega y navegadores de escritorio en el mostrador.</w:t>
      </w:r>
    </w:p>
    <w:p w14:paraId="7100E562">
      <w:pPr>
        <w:pStyle w:val="3"/>
        <w:keepNext/>
        <w:spacing w:before="240" w:after="80"/>
      </w:pPr>
      <w:bookmarkStart w:id="2" w:name="_Toc2349"/>
      <w:r>
        <w:rPr>
          <w:rFonts w:ascii="Calibri" w:hAnsi="Calibri"/>
          <w:b/>
          <w:color w:val="334155"/>
          <w:sz w:val="25"/>
        </w:rPr>
        <w:t>2.1. Barra Superior: Estado de Sincronización y Menú del Sistema</w:t>
      </w:r>
      <w:bookmarkEnd w:id="2"/>
    </w:p>
    <w:p w14:paraId="1F4020B6">
      <w:pPr>
        <w:spacing w:before="0" w:after="100" w:line="276" w:lineRule="auto"/>
      </w:pPr>
      <w:r>
        <w:rPr>
          <w:rFonts w:ascii="Calibri" w:hAnsi="Calibri"/>
          <w:b w:val="0"/>
          <w:i w:val="0"/>
          <w:color w:val="1F2937"/>
          <w:sz w:val="21"/>
        </w:rPr>
        <w:t>En la parte superior de la pantalla se ubica la barra de herramientas del sistema:</w:t>
      </w:r>
    </w:p>
    <w:p w14:paraId="3699622B">
      <w:pPr>
        <w:keepNext/>
        <w:keepLines/>
        <w:spacing w:before="120" w:after="60"/>
        <w:jc w:val="center"/>
      </w:pPr>
      <w:r>
        <w:drawing>
          <wp:inline distT="0" distB="0" distL="114300" distR="114300">
            <wp:extent cx="4826000" cy="647700"/>
            <wp:effectExtent l="9525" t="9525" r="1079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826000" cy="647935"/>
                    </a:xfrm>
                    <a:prstGeom prst="rect">
                      <a:avLst/>
                    </a:prstGeom>
                    <a:ln>
                      <a:solidFill>
                        <a:schemeClr val="bg1">
                          <a:lumMod val="85000"/>
                        </a:schemeClr>
                      </a:solidFill>
                    </a:ln>
                  </pic:spPr>
                </pic:pic>
              </a:graphicData>
            </a:graphic>
          </wp:inline>
        </w:drawing>
      </w:r>
    </w:p>
    <w:p w14:paraId="2FE99678">
      <w:pPr>
        <w:keepLines/>
        <w:spacing w:before="20" w:after="120"/>
        <w:jc w:val="center"/>
      </w:pPr>
      <w:r>
        <w:rPr>
          <w:rFonts w:ascii="Calibri" w:hAnsi="Calibri"/>
          <w:i/>
          <w:color w:val="64748B"/>
          <w:sz w:val="17"/>
        </w:rPr>
        <w:t>Barra Superior de Sincronización y Menú</w:t>
      </w:r>
    </w:p>
    <w:p w14:paraId="19D389AC">
      <w:pPr>
        <w:pStyle w:val="31"/>
        <w:spacing w:before="0" w:after="50" w:line="276" w:lineRule="auto"/>
        <w:ind w:left="360"/>
      </w:pPr>
      <w:r>
        <w:rPr>
          <w:rFonts w:ascii="Calibri" w:hAnsi="Calibri"/>
          <w:b/>
          <w:i w:val="0"/>
          <w:color w:val="1F2937"/>
          <w:sz w:val="21"/>
        </w:rPr>
        <w:t>Menú Lateral:</w:t>
      </w:r>
      <w:r>
        <w:rPr>
          <w:rFonts w:ascii="Calibri" w:hAnsi="Calibri"/>
          <w:b w:val="0"/>
          <w:i w:val="0"/>
          <w:color w:val="1F2937"/>
          <w:sz w:val="21"/>
        </w:rPr>
        <w:t xml:space="preserve"> Ubicado en la esquina superior izquierda (tres líneas horizontales). Despliega el panel de opciones corporativas, datos del usuario activo y versión.</w:t>
      </w:r>
    </w:p>
    <w:p w14:paraId="37910C0D">
      <w:pPr>
        <w:pStyle w:val="31"/>
        <w:spacing w:before="0" w:after="50" w:line="276" w:lineRule="auto"/>
        <w:ind w:left="360"/>
      </w:pPr>
      <w:r>
        <w:rPr>
          <w:rFonts w:ascii="Calibri" w:hAnsi="Calibri"/>
          <w:b/>
          <w:i w:val="0"/>
          <w:color w:val="1F2937"/>
          <w:sz w:val="21"/>
        </w:rPr>
        <w:t>Botón de Sincronización Manual:</w:t>
      </w:r>
      <w:r>
        <w:rPr>
          <w:rFonts w:ascii="Calibri" w:hAnsi="Calibri"/>
          <w:b w:val="0"/>
          <w:i w:val="0"/>
          <w:color w:val="1F2937"/>
          <w:sz w:val="21"/>
        </w:rPr>
        <w:t xml:space="preserve"> Ubicado en la esquina superior derecha (flechas circulares). Permite forzar una actualización inmediata con la base de datos central en Google Sheets. Si no hay conexión a internet, el aplicativo continúa operando en modo sin conexión (offline) y almacena los despachos localmente hasta recuperar la señal.</w:t>
      </w:r>
    </w:p>
    <w:p w14:paraId="53BD2E71">
      <w:pPr>
        <w:spacing w:before="0" w:after="100" w:line="276" w:lineRule="auto"/>
      </w:pPr>
      <w:r>
        <w:rPr>
          <w:rFonts w:ascii="Calibri" w:hAnsi="Calibri"/>
          <w:b w:val="0"/>
          <w:i w:val="0"/>
          <w:color w:val="1F2937"/>
          <w:sz w:val="21"/>
        </w:rPr>
        <w:t>Al pulsar el botón del menú lateral, se despliega el panel corporativo:</w:t>
      </w:r>
    </w:p>
    <w:p w14:paraId="4A8B4AAF">
      <w:pPr>
        <w:keepNext/>
        <w:keepLines/>
        <w:spacing w:before="120" w:after="60"/>
        <w:jc w:val="center"/>
      </w:pPr>
      <w:r>
        <w:drawing>
          <wp:inline distT="0" distB="0" distL="114300" distR="114300">
            <wp:extent cx="3540125" cy="3474720"/>
            <wp:effectExtent l="9525" t="9525" r="16510" b="20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540280" cy="3474720"/>
                    </a:xfrm>
                    <a:prstGeom prst="rect">
                      <a:avLst/>
                    </a:prstGeom>
                    <a:ln>
                      <a:solidFill>
                        <a:schemeClr val="bg1">
                          <a:lumMod val="85000"/>
                        </a:schemeClr>
                      </a:solidFill>
                    </a:ln>
                  </pic:spPr>
                </pic:pic>
              </a:graphicData>
            </a:graphic>
          </wp:inline>
        </w:drawing>
      </w:r>
    </w:p>
    <w:p w14:paraId="4D57BECA">
      <w:pPr>
        <w:keepLines/>
        <w:spacing w:before="20" w:after="120"/>
        <w:jc w:val="center"/>
      </w:pPr>
      <w:r>
        <w:rPr>
          <w:rFonts w:ascii="Calibri" w:hAnsi="Calibri"/>
          <w:i/>
          <w:color w:val="64748B"/>
          <w:sz w:val="17"/>
        </w:rPr>
        <w:t>Menú Lateral Desplegado</w:t>
      </w:r>
    </w:p>
    <w:p w14:paraId="12823081">
      <w:pPr>
        <w:pStyle w:val="31"/>
        <w:spacing w:before="0" w:after="50" w:line="276" w:lineRule="auto"/>
        <w:ind w:left="360"/>
      </w:pPr>
      <w:r>
        <w:rPr>
          <w:rFonts w:ascii="Calibri" w:hAnsi="Calibri"/>
          <w:b/>
          <w:i w:val="0"/>
          <w:color w:val="1F2937"/>
          <w:sz w:val="21"/>
        </w:rPr>
        <w:t>Identidad de la Aplicación:</w:t>
      </w:r>
      <w:r>
        <w:rPr>
          <w:rFonts w:ascii="Calibri" w:hAnsi="Calibri"/>
          <w:b w:val="0"/>
          <w:i w:val="0"/>
          <w:color w:val="1F2937"/>
          <w:sz w:val="21"/>
        </w:rPr>
        <w:t xml:space="preserve"> Encabezado institucional con el título oficial </w:t>
      </w:r>
      <w:r>
        <w:rPr>
          <w:rFonts w:ascii="Calibri" w:hAnsi="Calibri"/>
          <w:b/>
          <w:i w:val="0"/>
          <w:color w:val="1F2937"/>
          <w:sz w:val="21"/>
        </w:rPr>
        <w:t>BONIFICACIONES</w:t>
      </w:r>
      <w:r>
        <w:rPr>
          <w:rFonts w:ascii="Calibri" w:hAnsi="Calibri"/>
          <w:b w:val="0"/>
          <w:i w:val="0"/>
          <w:color w:val="1F2937"/>
          <w:sz w:val="21"/>
        </w:rPr>
        <w:t>.</w:t>
      </w:r>
    </w:p>
    <w:p w14:paraId="4CFCA480">
      <w:pPr>
        <w:pStyle w:val="31"/>
        <w:spacing w:before="0" w:after="50" w:line="276" w:lineRule="auto"/>
        <w:ind w:left="360"/>
      </w:pPr>
      <w:r>
        <w:rPr>
          <w:rFonts w:ascii="Calibri" w:hAnsi="Calibri"/>
          <w:b/>
          <w:i w:val="0"/>
          <w:color w:val="1F2937"/>
          <w:sz w:val="21"/>
        </w:rPr>
        <w:t>Opciones del Menú:</w:t>
      </w:r>
    </w:p>
    <w:p w14:paraId="0F2528CE">
      <w:pPr>
        <w:pStyle w:val="31"/>
        <w:spacing w:before="0" w:after="50" w:line="276" w:lineRule="auto"/>
        <w:ind w:left="720"/>
      </w:pPr>
      <w:r>
        <w:rPr>
          <w:rFonts w:ascii="Calibri" w:hAnsi="Calibri"/>
          <w:b/>
          <w:i w:val="0"/>
          <w:color w:val="1F2937"/>
          <w:sz w:val="21"/>
        </w:rPr>
        <w:t>About:</w:t>
      </w:r>
      <w:r>
        <w:rPr>
          <w:rFonts w:ascii="Calibri" w:hAnsi="Calibri"/>
          <w:b w:val="0"/>
          <w:i w:val="0"/>
          <w:color w:val="1F2937"/>
          <w:sz w:val="21"/>
        </w:rPr>
        <w:t xml:space="preserve"> Información técnica de la aplicación, licencia y términos.</w:t>
      </w:r>
    </w:p>
    <w:p w14:paraId="582EB45F">
      <w:pPr>
        <w:pStyle w:val="31"/>
        <w:spacing w:before="0" w:after="50" w:line="276" w:lineRule="auto"/>
        <w:ind w:left="720"/>
      </w:pPr>
      <w:r>
        <w:rPr>
          <w:rFonts w:ascii="Calibri" w:hAnsi="Calibri"/>
          <w:b/>
          <w:i w:val="0"/>
          <w:color w:val="1F2937"/>
          <w:sz w:val="21"/>
        </w:rPr>
        <w:t>Share:</w:t>
      </w:r>
      <w:r>
        <w:rPr>
          <w:rFonts w:ascii="Calibri" w:hAnsi="Calibri"/>
          <w:b w:val="0"/>
          <w:i w:val="0"/>
          <w:color w:val="1F2937"/>
          <w:sz w:val="21"/>
        </w:rPr>
        <w:t xml:space="preserve"> Enlace directo para compartir el acceso al aplicativo.</w:t>
      </w:r>
    </w:p>
    <w:p w14:paraId="5C313068">
      <w:pPr>
        <w:pStyle w:val="31"/>
        <w:spacing w:before="0" w:after="50" w:line="276" w:lineRule="auto"/>
        <w:ind w:left="720"/>
      </w:pPr>
      <w:r>
        <w:rPr>
          <w:rFonts w:ascii="Calibri" w:hAnsi="Calibri"/>
          <w:b/>
          <w:i w:val="0"/>
          <w:color w:val="1F2937"/>
          <w:sz w:val="21"/>
        </w:rPr>
        <w:t>App Gallery:</w:t>
      </w:r>
      <w:r>
        <w:rPr>
          <w:rFonts w:ascii="Calibri" w:hAnsi="Calibri"/>
          <w:b w:val="0"/>
          <w:i w:val="0"/>
          <w:color w:val="1F2937"/>
          <w:sz w:val="21"/>
        </w:rPr>
        <w:t xml:space="preserve"> Acceso al catálogo de soluciones internas de la organización.</w:t>
      </w:r>
    </w:p>
    <w:p w14:paraId="24A9E444">
      <w:pPr>
        <w:pStyle w:val="31"/>
        <w:spacing w:before="0" w:after="50" w:line="276" w:lineRule="auto"/>
        <w:ind w:left="720"/>
      </w:pPr>
      <w:r>
        <w:rPr>
          <w:rFonts w:ascii="Calibri" w:hAnsi="Calibri"/>
          <w:b/>
          <w:i w:val="0"/>
          <w:color w:val="1F2937"/>
          <w:sz w:val="21"/>
        </w:rPr>
        <w:t>Add Shortcut:</w:t>
      </w:r>
      <w:r>
        <w:rPr>
          <w:rFonts w:ascii="Calibri" w:hAnsi="Calibri"/>
          <w:b w:val="0"/>
          <w:i w:val="0"/>
          <w:color w:val="1F2937"/>
          <w:sz w:val="21"/>
        </w:rPr>
        <w:t xml:space="preserve"> Permite anclar el acceso directo de la aplicación en la pantalla principal del celular.</w:t>
      </w:r>
    </w:p>
    <w:p w14:paraId="46A42362">
      <w:pPr>
        <w:pStyle w:val="31"/>
        <w:spacing w:before="0" w:after="50" w:line="276" w:lineRule="auto"/>
        <w:ind w:left="360"/>
      </w:pPr>
      <w:r>
        <w:rPr>
          <w:rFonts w:ascii="Calibri" w:hAnsi="Calibri"/>
          <w:b/>
          <w:i w:val="0"/>
          <w:color w:val="1F2937"/>
          <w:sz w:val="21"/>
        </w:rPr>
        <w:t>Pie del Menú:</w:t>
      </w:r>
      <w:r>
        <w:rPr>
          <w:rFonts w:ascii="Calibri" w:hAnsi="Calibri"/>
          <w:b w:val="0"/>
          <w:i w:val="0"/>
          <w:color w:val="1F2937"/>
          <w:sz w:val="21"/>
        </w:rPr>
        <w:t xml:space="preserve"> Muestra el avatar corporativo y la cuenta de correo oficial asignada al sistema (sistemas.interelectricos@gmail.com).</w:t>
      </w:r>
    </w:p>
    <w:p w14:paraId="45E3E7D4">
      <w:pPr>
        <w:pStyle w:val="3"/>
        <w:keepNext/>
        <w:spacing w:before="240" w:after="80"/>
      </w:pPr>
      <w:bookmarkStart w:id="3" w:name="_Toc30925"/>
      <w:r>
        <w:rPr>
          <w:rFonts w:ascii="Calibri" w:hAnsi="Calibri"/>
          <w:b/>
          <w:color w:val="334155"/>
          <w:sz w:val="25"/>
        </w:rPr>
        <w:t>2.2. Barra Inferior Permanente: Los Tres Módulos de Trabajo</w:t>
      </w:r>
      <w:bookmarkEnd w:id="3"/>
    </w:p>
    <w:p w14:paraId="167A348C">
      <w:pPr>
        <w:spacing w:before="0" w:after="100" w:line="276" w:lineRule="auto"/>
      </w:pPr>
      <w:r>
        <w:rPr>
          <w:rFonts w:ascii="Calibri" w:hAnsi="Calibri"/>
          <w:b w:val="0"/>
          <w:i w:val="0"/>
          <w:color w:val="1F2937"/>
          <w:sz w:val="21"/>
        </w:rPr>
        <w:t xml:space="preserve">En la parte inferior de la pantalla se ubica la barra fija de navegación con los </w:t>
      </w:r>
      <w:r>
        <w:rPr>
          <w:rFonts w:ascii="Calibri" w:hAnsi="Calibri"/>
          <w:b/>
          <w:i w:val="0"/>
          <w:color w:val="1F2937"/>
          <w:sz w:val="21"/>
        </w:rPr>
        <w:t>tres módulos de trabajo</w:t>
      </w:r>
      <w:r>
        <w:rPr>
          <w:rFonts w:ascii="Calibri" w:hAnsi="Calibri"/>
          <w:b w:val="0"/>
          <w:i w:val="0"/>
          <w:color w:val="1F2937"/>
          <w:sz w:val="21"/>
        </w:rPr>
        <w:t>:</w:t>
      </w:r>
    </w:p>
    <w:p w14:paraId="3970F1B5">
      <w:pPr>
        <w:keepNext/>
        <w:keepLines/>
        <w:spacing w:before="120" w:after="60"/>
        <w:jc w:val="center"/>
      </w:pPr>
      <w:r>
        <w:drawing>
          <wp:inline distT="0" distB="0" distL="114300" distR="114300">
            <wp:extent cx="4826000" cy="687705"/>
            <wp:effectExtent l="9525" t="9525" r="1079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826000" cy="688151"/>
                    </a:xfrm>
                    <a:prstGeom prst="rect">
                      <a:avLst/>
                    </a:prstGeom>
                    <a:ln>
                      <a:solidFill>
                        <a:schemeClr val="bg1">
                          <a:lumMod val="85000"/>
                        </a:schemeClr>
                      </a:solidFill>
                    </a:ln>
                  </pic:spPr>
                </pic:pic>
              </a:graphicData>
            </a:graphic>
          </wp:inline>
        </w:drawing>
      </w:r>
    </w:p>
    <w:p w14:paraId="3E60AD1A">
      <w:pPr>
        <w:keepLines/>
        <w:spacing w:before="20" w:after="120"/>
        <w:jc w:val="center"/>
      </w:pPr>
      <w:r>
        <w:rPr>
          <w:rFonts w:ascii="Calibri" w:hAnsi="Calibri"/>
          <w:i/>
          <w:color w:val="64748B"/>
          <w:sz w:val="17"/>
        </w:rPr>
        <w:t>Barra Inferior de Navegación</w:t>
      </w:r>
    </w:p>
    <w:p w14:paraId="2C546A58">
      <w:pPr>
        <w:pStyle w:val="31"/>
        <w:spacing w:before="0" w:after="50" w:line="276" w:lineRule="auto"/>
        <w:ind w:left="360"/>
      </w:pPr>
      <w:r>
        <w:rPr>
          <w:rFonts w:ascii="Calibri" w:hAnsi="Calibri"/>
          <w:b/>
          <w:i w:val="0"/>
          <w:color w:val="1F2937"/>
          <w:sz w:val="21"/>
        </w:rPr>
        <w:t>1. NUEVO REGISTRO:</w:t>
      </w:r>
      <w:r>
        <w:rPr>
          <w:rFonts w:ascii="Calibri" w:hAnsi="Calibri"/>
          <w:b w:val="0"/>
          <w:i w:val="0"/>
          <w:color w:val="1F2937"/>
          <w:sz w:val="21"/>
        </w:rPr>
        <w:t xml:space="preserve"> Formulario de captura rápida para asentar cada alistamiento entregado en tiempo real. Es la vista de inicio predeterminada al abrir o desbloquear el dispositivo.</w:t>
      </w:r>
    </w:p>
    <w:p w14:paraId="5D645289">
      <w:pPr>
        <w:pStyle w:val="31"/>
        <w:spacing w:before="0" w:after="50" w:line="276" w:lineRule="auto"/>
        <w:ind w:left="360"/>
      </w:pPr>
      <w:r>
        <w:rPr>
          <w:rFonts w:ascii="Calibri" w:hAnsi="Calibri"/>
          <w:b/>
          <w:i w:val="0"/>
          <w:color w:val="1F2937"/>
          <w:sz w:val="21"/>
        </w:rPr>
        <w:t>2. HISTORIAL HOY:</w:t>
      </w:r>
      <w:r>
        <w:rPr>
          <w:rFonts w:ascii="Calibri" w:hAnsi="Calibri"/>
          <w:b w:val="0"/>
          <w:i w:val="0"/>
          <w:color w:val="1F2937"/>
          <w:sz w:val="21"/>
        </w:rPr>
        <w:t xml:space="preserve"> Listado cronológico de todas las órdenes despachadas durante la fecha en curso, con hora exacta y códigos unificados para verificación inmediata en mostrador.</w:t>
      </w:r>
    </w:p>
    <w:p w14:paraId="271808B1">
      <w:pPr>
        <w:pStyle w:val="31"/>
        <w:spacing w:before="0" w:after="50" w:line="276" w:lineRule="auto"/>
        <w:ind w:left="360"/>
      </w:pPr>
      <w:r>
        <w:rPr>
          <w:rFonts w:ascii="Calibri" w:hAnsi="Calibri"/>
          <w:b/>
          <w:i w:val="0"/>
          <w:color w:val="1F2937"/>
          <w:sz w:val="21"/>
        </w:rPr>
        <w:t>3. LIQUIDACION:</w:t>
      </w:r>
      <w:r>
        <w:rPr>
          <w:rFonts w:ascii="Calibri" w:hAnsi="Calibri"/>
          <w:b w:val="0"/>
          <w:i w:val="0"/>
          <w:color w:val="1F2937"/>
          <w:sz w:val="21"/>
        </w:rPr>
        <w:t xml:space="preserve"> Centro de consulta financiera quincenal y mensual que consolida los puntos acumulados, penalizaciones y bonos en pesos de cada colaborador.</w:t>
      </w:r>
      <w:bookmarkStart w:id="4" w:name="_Toc10871"/>
    </w:p>
    <w:p w14:paraId="3C778610">
      <w:pPr>
        <w:rPr>
          <w:rFonts w:ascii="Calibri" w:hAnsi="Calibri"/>
          <w:b/>
          <w:color w:val="1E293B"/>
          <w:sz w:val="30"/>
        </w:rPr>
      </w:pPr>
      <w:r>
        <w:rPr>
          <w:rFonts w:ascii="Calibri" w:hAnsi="Calibri"/>
          <w:b/>
          <w:color w:val="1E293B"/>
          <w:sz w:val="30"/>
        </w:rPr>
        <w:br w:type="page"/>
      </w:r>
    </w:p>
    <w:p w14:paraId="6A1A83CC">
      <w:pPr>
        <w:pStyle w:val="31"/>
        <w:numPr>
          <w:numId w:val="0"/>
        </w:numPr>
        <w:spacing w:before="0" w:after="50" w:line="276" w:lineRule="auto"/>
        <w:ind w:leftChars="0"/>
      </w:pPr>
      <w:r>
        <w:rPr>
          <w:rFonts w:ascii="Calibri" w:hAnsi="Calibri"/>
          <w:b/>
          <w:color w:val="1E293B"/>
          <w:sz w:val="30"/>
        </w:rPr>
        <w:t>3. Módulo 1: Nuevo Registro (Captura Operativa Continua)</w:t>
      </w:r>
      <w:bookmarkEnd w:id="4"/>
    </w:p>
    <w:p w14:paraId="776FE36B">
      <w:pPr>
        <w:spacing w:before="0" w:after="100" w:line="276" w:lineRule="auto"/>
      </w:pPr>
      <w:r>
        <w:rPr>
          <w:rFonts w:ascii="Calibri" w:hAnsi="Calibri"/>
          <w:b w:val="0"/>
          <w:i w:val="0"/>
          <w:color w:val="1F2937"/>
          <w:sz w:val="21"/>
        </w:rPr>
        <w:t>El registro de alistamientos debe efectuarse en el instante exacto en que el auxiliar de bodega entrega el pedido físico en mostrador junto con el comprobante correspondiente.</w:t>
      </w:r>
    </w:p>
    <w:p w14:paraId="53F0D0FB">
      <w:pPr>
        <w:pStyle w:val="3"/>
        <w:keepNext/>
        <w:spacing w:before="240" w:after="80"/>
      </w:pPr>
      <w:bookmarkStart w:id="5" w:name="_Toc29384"/>
      <w:r>
        <w:rPr>
          <w:rFonts w:ascii="Calibri" w:hAnsi="Calibri"/>
          <w:b/>
          <w:color w:val="334155"/>
          <w:sz w:val="25"/>
        </w:rPr>
        <w:t>3.1. Acceso al Formulario de Captura</w:t>
      </w:r>
      <w:bookmarkEnd w:id="5"/>
    </w:p>
    <w:p w14:paraId="26BC05E0">
      <w:pPr>
        <w:spacing w:before="0" w:after="100" w:line="276" w:lineRule="auto"/>
      </w:pPr>
      <w:r>
        <w:rPr>
          <w:rFonts w:ascii="Calibri" w:hAnsi="Calibri"/>
          <w:b w:val="0"/>
          <w:i w:val="0"/>
          <w:color w:val="1F2937"/>
          <w:sz w:val="21"/>
        </w:rPr>
        <w:t xml:space="preserve">Al iniciar la aplicación, el sistema se posiciona automáticamente en el formulario. Si se encuentra en otro módulo, pulse la opción </w:t>
      </w:r>
      <w:r>
        <w:rPr>
          <w:rFonts w:ascii="Calibri" w:hAnsi="Calibri"/>
          <w:b/>
          <w:i w:val="0"/>
          <w:color w:val="1F2937"/>
          <w:sz w:val="21"/>
        </w:rPr>
        <w:t>NUEVO REGISTRO</w:t>
      </w:r>
      <w:r>
        <w:rPr>
          <w:rFonts w:ascii="Calibri" w:hAnsi="Calibri"/>
          <w:b w:val="0"/>
          <w:i w:val="0"/>
          <w:color w:val="1F2937"/>
          <w:sz w:val="21"/>
        </w:rPr>
        <w:t xml:space="preserve"> en la barra inferior:</w:t>
      </w:r>
    </w:p>
    <w:p w14:paraId="67AAD44C">
      <w:pPr>
        <w:keepNext/>
        <w:keepLines/>
        <w:spacing w:before="120" w:after="60"/>
        <w:jc w:val="center"/>
      </w:pPr>
      <w:r>
        <w:drawing>
          <wp:inline distT="0" distB="0" distL="114300" distR="114300">
            <wp:extent cx="4826000" cy="687705"/>
            <wp:effectExtent l="9525" t="9525" r="1079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826000" cy="688151"/>
                    </a:xfrm>
                    <a:prstGeom prst="rect">
                      <a:avLst/>
                    </a:prstGeom>
                    <a:ln>
                      <a:solidFill>
                        <a:schemeClr val="bg1">
                          <a:lumMod val="85000"/>
                        </a:schemeClr>
                      </a:solidFill>
                    </a:ln>
                  </pic:spPr>
                </pic:pic>
              </a:graphicData>
            </a:graphic>
          </wp:inline>
        </w:drawing>
      </w:r>
    </w:p>
    <w:p w14:paraId="44BD9D2A">
      <w:pPr>
        <w:keepLines/>
        <w:spacing w:before="20" w:after="120"/>
        <w:jc w:val="center"/>
      </w:pPr>
      <w:r>
        <w:rPr>
          <w:rFonts w:ascii="Calibri" w:hAnsi="Calibri"/>
          <w:i/>
          <w:color w:val="64748B"/>
          <w:sz w:val="17"/>
        </w:rPr>
        <w:t>Pestaña Nuevo Registro</w:t>
      </w:r>
    </w:p>
    <w:p w14:paraId="59751483">
      <w:pPr>
        <w:spacing w:before="0" w:after="100" w:line="276" w:lineRule="auto"/>
      </w:pPr>
      <w:r>
        <w:rPr>
          <w:rFonts w:ascii="Calibri" w:hAnsi="Calibri"/>
          <w:b w:val="0"/>
          <w:i w:val="0"/>
          <w:color w:val="1F2937"/>
          <w:sz w:val="21"/>
        </w:rPr>
        <w:t>El formulario en blanco se presenta con una interfaz optimizada para captura vertical rápida:</w:t>
      </w:r>
    </w:p>
    <w:p w14:paraId="6ECCCEF6">
      <w:pPr>
        <w:keepNext/>
        <w:keepLines/>
        <w:spacing w:before="120" w:after="60"/>
        <w:jc w:val="center"/>
      </w:pPr>
      <w:r>
        <w:drawing>
          <wp:inline distT="0" distB="0" distL="114300" distR="114300">
            <wp:extent cx="1781810" cy="3474720"/>
            <wp:effectExtent l="9525" t="9525" r="22225" b="209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1781907" cy="3474720"/>
                    </a:xfrm>
                    <a:prstGeom prst="rect">
                      <a:avLst/>
                    </a:prstGeom>
                    <a:ln>
                      <a:solidFill>
                        <a:schemeClr val="bg1">
                          <a:lumMod val="85000"/>
                        </a:schemeClr>
                      </a:solidFill>
                    </a:ln>
                  </pic:spPr>
                </pic:pic>
              </a:graphicData>
            </a:graphic>
          </wp:inline>
        </w:drawing>
      </w:r>
    </w:p>
    <w:p w14:paraId="34DAA385">
      <w:pPr>
        <w:keepLines/>
        <w:spacing w:before="20" w:after="120"/>
        <w:jc w:val="center"/>
      </w:pPr>
      <w:r>
        <w:rPr>
          <w:rFonts w:ascii="Calibri" w:hAnsi="Calibri"/>
          <w:i/>
          <w:color w:val="64748B"/>
          <w:sz w:val="17"/>
        </w:rPr>
        <w:t>Formulario de Nuevo Registro Vacío</w:t>
      </w:r>
    </w:p>
    <w:tbl>
      <w:tblPr>
        <w:tblStyle w:val="12"/>
        <w:tblW w:w="0" w:type="auto"/>
        <w:jc w:val="center"/>
        <w:tblLayout w:type="autofit"/>
        <w:tblCellMar>
          <w:top w:w="0" w:type="dxa"/>
          <w:left w:w="108" w:type="dxa"/>
          <w:bottom w:w="0" w:type="dxa"/>
          <w:right w:w="108" w:type="dxa"/>
        </w:tblCellMar>
      </w:tblPr>
      <w:tblGrid>
        <w:gridCol w:w="9360"/>
      </w:tblGrid>
      <w:tr w14:paraId="76192E0C">
        <w:tblPrEx>
          <w:tblCellMar>
            <w:top w:w="0" w:type="dxa"/>
            <w:left w:w="108" w:type="dxa"/>
            <w:bottom w:w="0" w:type="dxa"/>
            <w:right w:w="108" w:type="dxa"/>
          </w:tblCellMar>
        </w:tblPrEx>
        <w:trPr>
          <w:cantSplit/>
          <w:jc w:val="center"/>
        </w:trPr>
        <w:tc>
          <w:tcPr>
            <w:tcW w:w="9360" w:type="dxa"/>
            <w:tcBorders>
              <w:top w:val="nil"/>
              <w:left w:val="single" w:color="0284C7" w:sz="36" w:space="0"/>
              <w:bottom w:val="nil"/>
              <w:right w:val="nil"/>
            </w:tcBorders>
            <w:shd w:val="clear" w:color="auto" w:fill="F0F9FF"/>
            <w:tcMar>
              <w:top w:w="120" w:type="dxa"/>
              <w:left w:w="180" w:type="dxa"/>
              <w:bottom w:w="120" w:type="dxa"/>
              <w:right w:w="180" w:type="dxa"/>
            </w:tcMar>
          </w:tcPr>
          <w:p w14:paraId="21DE6020">
            <w:pPr>
              <w:spacing w:before="0" w:after="0" w:line="276" w:lineRule="auto"/>
            </w:pPr>
            <w:r>
              <w:rPr>
                <w:rFonts w:ascii="Calibri" w:hAnsi="Calibri"/>
                <w:b/>
                <w:i w:val="0"/>
                <w:color w:val="1E293B"/>
                <w:sz w:val="20"/>
              </w:rPr>
              <w:t>Nota Técnica de Diseño:</w:t>
            </w:r>
            <w:r>
              <w:rPr>
                <w:rFonts w:ascii="Calibri" w:hAnsi="Calibri"/>
                <w:b w:val="0"/>
                <w:i w:val="0"/>
                <w:color w:val="1E293B"/>
                <w:sz w:val="20"/>
              </w:rPr>
              <w:t xml:space="preserve"> Los campos de fecha y hora no se muestran en pantalla para evitar saturación visual y prevenir alteraciones manuales. El sistema captura internamente la fecha del día y la hora exacta del despacho en segundo plano al momento de guardar.</w:t>
            </w:r>
          </w:p>
        </w:tc>
      </w:tr>
    </w:tbl>
    <w:p w14:paraId="30C05926">
      <w:pPr>
        <w:spacing w:before="0" w:after="80"/>
      </w:pPr>
    </w:p>
    <w:p w14:paraId="729FE6BB">
      <w:pPr>
        <w:pStyle w:val="3"/>
        <w:keepNext/>
        <w:spacing w:before="240" w:after="80"/>
      </w:pPr>
      <w:bookmarkStart w:id="6" w:name="_Toc9496"/>
      <w:r>
        <w:rPr>
          <w:rFonts w:ascii="Calibri" w:hAnsi="Calibri"/>
          <w:b/>
          <w:color w:val="334155"/>
          <w:sz w:val="25"/>
        </w:rPr>
        <w:t>3.2. Diligenciamiento Paso a Paso de los Campos</w:t>
      </w:r>
      <w:bookmarkEnd w:id="6"/>
    </w:p>
    <w:p w14:paraId="4846E2E9">
      <w:pPr>
        <w:spacing w:before="0" w:after="100" w:line="276" w:lineRule="auto"/>
      </w:pPr>
      <w:r>
        <w:rPr>
          <w:rFonts w:ascii="Calibri" w:hAnsi="Calibri"/>
          <w:b w:val="0"/>
          <w:i w:val="0"/>
          <w:color w:val="1F2937"/>
          <w:sz w:val="21"/>
        </w:rPr>
        <w:t xml:space="preserve">El formulario contiene exactamente </w:t>
      </w:r>
      <w:r>
        <w:rPr>
          <w:rFonts w:ascii="Calibri" w:hAnsi="Calibri"/>
          <w:b/>
          <w:i w:val="0"/>
          <w:color w:val="1F2937"/>
          <w:sz w:val="21"/>
        </w:rPr>
        <w:t>cinco campos de entrada</w:t>
      </w:r>
      <w:r>
        <w:rPr>
          <w:rFonts w:ascii="Calibri" w:hAnsi="Calibri"/>
          <w:b w:val="0"/>
          <w:i w:val="0"/>
          <w:color w:val="1F2937"/>
          <w:sz w:val="21"/>
        </w:rPr>
        <w:t>, todos de diligenciamiento obligatorio:</w:t>
      </w:r>
    </w:p>
    <w:p w14:paraId="75884296">
      <w:pPr>
        <w:pStyle w:val="4"/>
        <w:keepNext/>
        <w:spacing w:before="200" w:after="60"/>
      </w:pPr>
      <w:r>
        <w:rPr>
          <w:rFonts w:ascii="Calibri" w:hAnsi="Calibri"/>
          <w:b/>
          <w:color w:val="374151"/>
          <w:sz w:val="23"/>
        </w:rPr>
        <w:t>Paso 1: Selección del Auxiliar Responsable (Campo Empleado)</w:t>
      </w:r>
    </w:p>
    <w:p w14:paraId="3BC71D16">
      <w:pPr>
        <w:spacing w:before="0" w:after="100" w:line="276" w:lineRule="auto"/>
      </w:pPr>
      <w:r>
        <w:rPr>
          <w:rFonts w:ascii="Calibri" w:hAnsi="Calibri"/>
          <w:b w:val="0"/>
          <w:i w:val="0"/>
          <w:color w:val="1F2937"/>
          <w:sz w:val="21"/>
        </w:rPr>
        <w:t>Toque el campo desplegable para elegir al colaborador que realizó físicamente el alistamiento del pedido:</w:t>
      </w:r>
    </w:p>
    <w:tbl>
      <w:tblPr>
        <w:tblStyle w:val="12"/>
        <w:tblW w:w="0" w:type="auto"/>
        <w:jc w:val="center"/>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4680"/>
        <w:gridCol w:w="4680"/>
      </w:tblGrid>
      <w:tr w14:paraId="3C715686">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tblHeader/>
          <w:jc w:val="center"/>
        </w:trPr>
        <w:tc>
          <w:tcPr>
            <w:tcW w:w="4680" w:type="dxa"/>
            <w:shd w:val="clear" w:color="auto" w:fill="334155"/>
            <w:tcMar>
              <w:top w:w="100" w:type="dxa"/>
              <w:left w:w="120" w:type="dxa"/>
              <w:bottom w:w="100" w:type="dxa"/>
              <w:right w:w="120" w:type="dxa"/>
            </w:tcMar>
          </w:tcPr>
          <w:p w14:paraId="1EB3247E">
            <w:pPr>
              <w:spacing w:before="0" w:after="0"/>
            </w:pPr>
            <w:r>
              <w:rPr>
                <w:rFonts w:ascii="Calibri" w:hAnsi="Calibri"/>
                <w:b/>
                <w:color w:val="FFFFFF"/>
                <w:sz w:val="19"/>
              </w:rPr>
              <w:t>Campo Empleado Vacío</w:t>
            </w:r>
          </w:p>
        </w:tc>
        <w:tc>
          <w:tcPr>
            <w:tcW w:w="4680" w:type="dxa"/>
            <w:shd w:val="clear" w:color="auto" w:fill="334155"/>
            <w:tcMar>
              <w:top w:w="100" w:type="dxa"/>
              <w:left w:w="120" w:type="dxa"/>
              <w:bottom w:w="100" w:type="dxa"/>
              <w:right w:w="120" w:type="dxa"/>
            </w:tcMar>
          </w:tcPr>
          <w:p w14:paraId="1D7E069F">
            <w:pPr>
              <w:spacing w:before="0" w:after="0"/>
            </w:pPr>
            <w:r>
              <w:rPr>
                <w:rFonts w:ascii="Calibri" w:hAnsi="Calibri"/>
                <w:b/>
                <w:color w:val="FFFFFF"/>
                <w:sz w:val="19"/>
              </w:rPr>
              <w:t>Lista Desplegable Abierta</w:t>
            </w:r>
          </w:p>
        </w:tc>
      </w:tr>
      <w:tr w14:paraId="27ECC1BC">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4680" w:type="dxa"/>
            <w:shd w:val="clear" w:color="auto" w:fill="FFFFFF"/>
            <w:tcMar>
              <w:top w:w="90" w:type="dxa"/>
              <w:left w:w="120" w:type="dxa"/>
              <w:bottom w:w="90" w:type="dxa"/>
              <w:right w:w="120" w:type="dxa"/>
            </w:tcMar>
          </w:tcPr>
          <w:p w14:paraId="34562183">
            <w:pPr>
              <w:spacing w:before="0" w:after="0" w:line="264" w:lineRule="auto"/>
              <w:jc w:val="center"/>
            </w:pPr>
            <w:r>
              <w:drawing>
                <wp:inline distT="0" distB="0" distL="114300" distR="114300">
                  <wp:extent cx="2377440" cy="549910"/>
                  <wp:effectExtent l="9525" t="9525" r="20955" b="196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2377440" cy="550333"/>
                          </a:xfrm>
                          <a:prstGeom prst="rect">
                            <a:avLst/>
                          </a:prstGeom>
                          <a:ln>
                            <a:solidFill>
                              <a:schemeClr val="bg1">
                                <a:lumMod val="85000"/>
                              </a:schemeClr>
                            </a:solidFill>
                          </a:ln>
                        </pic:spPr>
                      </pic:pic>
                    </a:graphicData>
                  </a:graphic>
                </wp:inline>
              </w:drawing>
            </w:r>
          </w:p>
        </w:tc>
        <w:tc>
          <w:tcPr>
            <w:tcW w:w="4680" w:type="dxa"/>
            <w:shd w:val="clear" w:color="auto" w:fill="FFFFFF"/>
            <w:tcMar>
              <w:top w:w="90" w:type="dxa"/>
              <w:left w:w="120" w:type="dxa"/>
              <w:bottom w:w="90" w:type="dxa"/>
              <w:right w:w="120" w:type="dxa"/>
            </w:tcMar>
          </w:tcPr>
          <w:p w14:paraId="634B7F1C">
            <w:pPr>
              <w:spacing w:before="0" w:after="0" w:line="264" w:lineRule="auto"/>
              <w:jc w:val="center"/>
            </w:pPr>
            <w:r>
              <w:drawing>
                <wp:inline distT="0" distB="0" distL="114300" distR="114300">
                  <wp:extent cx="2377440" cy="2046605"/>
                  <wp:effectExtent l="0" t="0" r="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2377440" cy="2047239"/>
                          </a:xfrm>
                          <a:prstGeom prst="rect">
                            <a:avLst/>
                          </a:prstGeom>
                        </pic:spPr>
                      </pic:pic>
                    </a:graphicData>
                  </a:graphic>
                </wp:inline>
              </w:drawing>
            </w:r>
          </w:p>
        </w:tc>
      </w:tr>
    </w:tbl>
    <w:p w14:paraId="08DFB476">
      <w:pPr>
        <w:spacing w:before="0" w:after="120"/>
      </w:pPr>
    </w:p>
    <w:p w14:paraId="4468FA8A">
      <w:pPr>
        <w:pStyle w:val="31"/>
        <w:spacing w:before="0" w:after="50" w:line="276" w:lineRule="auto"/>
        <w:ind w:left="360"/>
      </w:pPr>
      <w:r>
        <w:rPr>
          <w:rFonts w:ascii="Calibri" w:hAnsi="Calibri"/>
          <w:b/>
          <w:i w:val="0"/>
          <w:color w:val="1F2937"/>
          <w:sz w:val="21"/>
        </w:rPr>
        <w:t>Filtro de Seguridad:</w:t>
      </w:r>
      <w:r>
        <w:rPr>
          <w:rFonts w:ascii="Calibri" w:hAnsi="Calibri"/>
          <w:b w:val="0"/>
          <w:i w:val="0"/>
          <w:color w:val="1F2937"/>
          <w:sz w:val="21"/>
        </w:rPr>
        <w:t xml:space="preserve"> La lista muestra </w:t>
      </w:r>
      <w:r>
        <w:rPr>
          <w:rFonts w:ascii="Calibri" w:hAnsi="Calibri"/>
          <w:b/>
          <w:i w:val="0"/>
          <w:color w:val="1F2937"/>
          <w:sz w:val="21"/>
        </w:rPr>
        <w:t>únicamente los colaboradores activos</w:t>
      </w:r>
      <w:r>
        <w:rPr>
          <w:rFonts w:ascii="Calibri" w:hAnsi="Calibri"/>
          <w:b w:val="0"/>
          <w:i w:val="0"/>
          <w:color w:val="1F2937"/>
          <w:sz w:val="21"/>
        </w:rPr>
        <w:t xml:space="preserve"> en nómina, ordenados alfabéticamente por su nombre completo (Edward Sanchez, Fabian Ortiz, Sergio Ricardo Ballesteros, Sneider Villanueva, etc.).</w:t>
      </w:r>
    </w:p>
    <w:p w14:paraId="5410B198">
      <w:pPr>
        <w:pStyle w:val="31"/>
        <w:spacing w:before="0" w:after="50" w:line="276" w:lineRule="auto"/>
        <w:ind w:left="360"/>
      </w:pPr>
      <w:r>
        <w:rPr>
          <w:rFonts w:ascii="Calibri" w:hAnsi="Calibri"/>
          <w:b/>
          <w:i w:val="0"/>
          <w:color w:val="1F2937"/>
          <w:sz w:val="21"/>
        </w:rPr>
        <w:t>Vinculación Interna:</w:t>
      </w:r>
      <w:r>
        <w:rPr>
          <w:rFonts w:ascii="Calibri" w:hAnsi="Calibri"/>
          <w:b w:val="0"/>
          <w:i w:val="0"/>
          <w:color w:val="1F2937"/>
          <w:sz w:val="21"/>
        </w:rPr>
        <w:t xml:space="preserve"> Al seleccionar el nombre, el sistema enlaza en segundo plano su código de nómina oficial, asegurando que los puntos se acumulen en su cuenta personal.</w:t>
      </w:r>
    </w:p>
    <w:p w14:paraId="4C408EB3">
      <w:pPr>
        <w:pStyle w:val="4"/>
        <w:keepNext/>
        <w:spacing w:before="200" w:after="60"/>
      </w:pPr>
      <w:r>
        <w:rPr>
          <w:rFonts w:ascii="Calibri" w:hAnsi="Calibri"/>
          <w:b/>
          <w:color w:val="374151"/>
          <w:sz w:val="23"/>
        </w:rPr>
        <w:t>Paso 2: Selección del Tipo de Comprobante (Campo Tipo Factura)</w:t>
      </w:r>
    </w:p>
    <w:p w14:paraId="04E3EB80">
      <w:pPr>
        <w:spacing w:before="0" w:after="100" w:line="276" w:lineRule="auto"/>
      </w:pPr>
      <w:r>
        <w:rPr>
          <w:rFonts w:ascii="Calibri" w:hAnsi="Calibri"/>
          <w:b w:val="0"/>
          <w:i w:val="0"/>
          <w:color w:val="1F2937"/>
          <w:sz w:val="21"/>
        </w:rPr>
        <w:t>Toque el botón correspondiente a la serie documental del comprobante físico entregado:</w:t>
      </w:r>
    </w:p>
    <w:p w14:paraId="030965D9">
      <w:pPr>
        <w:keepNext/>
        <w:keepLines/>
        <w:spacing w:before="120" w:after="60"/>
        <w:jc w:val="center"/>
      </w:pPr>
      <w:r>
        <w:drawing>
          <wp:inline distT="0" distB="0" distL="114300" distR="114300">
            <wp:extent cx="4572000" cy="1057910"/>
            <wp:effectExtent l="9525" t="9525" r="20955"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572000" cy="1058333"/>
                    </a:xfrm>
                    <a:prstGeom prst="rect">
                      <a:avLst/>
                    </a:prstGeom>
                    <a:ln>
                      <a:solidFill>
                        <a:schemeClr val="bg1">
                          <a:lumMod val="85000"/>
                        </a:schemeClr>
                      </a:solidFill>
                    </a:ln>
                  </pic:spPr>
                </pic:pic>
              </a:graphicData>
            </a:graphic>
          </wp:inline>
        </w:drawing>
      </w:r>
    </w:p>
    <w:p w14:paraId="7AF880A9">
      <w:pPr>
        <w:keepLines/>
        <w:spacing w:before="20" w:after="120"/>
        <w:jc w:val="center"/>
      </w:pPr>
      <w:r>
        <w:rPr>
          <w:rFonts w:ascii="Calibri" w:hAnsi="Calibri"/>
          <w:i/>
          <w:color w:val="64748B"/>
          <w:sz w:val="17"/>
        </w:rPr>
        <w:t>Botonera Tipo Factura</w:t>
      </w:r>
    </w:p>
    <w:p w14:paraId="65C93DE1">
      <w:pPr>
        <w:pStyle w:val="31"/>
        <w:spacing w:before="0" w:after="50" w:line="276" w:lineRule="auto"/>
        <w:ind w:left="360"/>
      </w:pPr>
      <w:r>
        <w:rPr>
          <w:rFonts w:ascii="Calibri" w:hAnsi="Calibri"/>
          <w:b/>
          <w:i w:val="0"/>
          <w:color w:val="1F2937"/>
          <w:sz w:val="21"/>
        </w:rPr>
        <w:t>IC:</w:t>
      </w:r>
      <w:r>
        <w:rPr>
          <w:rFonts w:ascii="Calibri" w:hAnsi="Calibri"/>
          <w:b w:val="0"/>
          <w:i w:val="0"/>
          <w:color w:val="1F2937"/>
          <w:sz w:val="21"/>
        </w:rPr>
        <w:t xml:space="preserve"> Factura comercial de venta a cliente.</w:t>
      </w:r>
    </w:p>
    <w:p w14:paraId="12743FDF">
      <w:pPr>
        <w:pStyle w:val="31"/>
        <w:spacing w:before="0" w:after="50" w:line="276" w:lineRule="auto"/>
        <w:ind w:left="360"/>
      </w:pPr>
      <w:r>
        <w:rPr>
          <w:rFonts w:ascii="Calibri" w:hAnsi="Calibri"/>
          <w:b/>
          <w:i w:val="0"/>
          <w:color w:val="1F2937"/>
          <w:sz w:val="21"/>
        </w:rPr>
        <w:t>DP:</w:t>
      </w:r>
      <w:r>
        <w:rPr>
          <w:rFonts w:ascii="Calibri" w:hAnsi="Calibri"/>
          <w:b w:val="0"/>
          <w:i w:val="0"/>
          <w:color w:val="1F2937"/>
          <w:sz w:val="21"/>
        </w:rPr>
        <w:t xml:space="preserve"> Despacho interno o traslado entre bodegas de la empresa.</w:t>
      </w:r>
    </w:p>
    <w:p w14:paraId="341D3DA8">
      <w:pPr>
        <w:pStyle w:val="31"/>
        <w:spacing w:before="0" w:after="50" w:line="276" w:lineRule="auto"/>
        <w:ind w:left="360"/>
      </w:pPr>
      <w:r>
        <w:rPr>
          <w:rFonts w:ascii="Calibri" w:hAnsi="Calibri"/>
          <w:b/>
          <w:i w:val="0"/>
          <w:color w:val="1F2937"/>
          <w:sz w:val="21"/>
        </w:rPr>
        <w:t>IR:</w:t>
      </w:r>
      <w:r>
        <w:rPr>
          <w:rFonts w:ascii="Calibri" w:hAnsi="Calibri"/>
          <w:b w:val="0"/>
          <w:i w:val="0"/>
          <w:color w:val="1F2937"/>
          <w:sz w:val="21"/>
        </w:rPr>
        <w:t xml:space="preserve"> Remisión de mercancía pendiente de facturación formal.</w:t>
      </w:r>
    </w:p>
    <w:p w14:paraId="581D5931">
      <w:pPr>
        <w:pStyle w:val="4"/>
        <w:keepNext/>
        <w:spacing w:before="200" w:after="60"/>
      </w:pPr>
      <w:r>
        <w:rPr>
          <w:rFonts w:ascii="Calibri" w:hAnsi="Calibri"/>
          <w:b/>
          <w:color w:val="374151"/>
          <w:sz w:val="23"/>
        </w:rPr>
        <w:t>Paso 3: Digitación del Consecutivo (Campo N° Factura) y Teclado Numérico</w:t>
      </w:r>
    </w:p>
    <w:p w14:paraId="0D34F63E">
      <w:pPr>
        <w:spacing w:before="0" w:after="100" w:line="276" w:lineRule="auto"/>
      </w:pPr>
      <w:r>
        <w:rPr>
          <w:rFonts w:ascii="Calibri" w:hAnsi="Calibri"/>
          <w:b w:val="0"/>
          <w:i w:val="0"/>
          <w:color w:val="1F2937"/>
          <w:sz w:val="21"/>
        </w:rPr>
        <w:t xml:space="preserve">La casilla </w:t>
      </w:r>
      <w:r>
        <w:rPr>
          <w:rFonts w:ascii="Calibri" w:hAnsi="Calibri"/>
          <w:b/>
          <w:i w:val="0"/>
          <w:color w:val="1F2937"/>
          <w:sz w:val="21"/>
        </w:rPr>
        <w:t>N° Factura</w:t>
      </w:r>
      <w:r>
        <w:rPr>
          <w:rFonts w:ascii="Calibri" w:hAnsi="Calibri"/>
          <w:b w:val="0"/>
          <w:i w:val="0"/>
          <w:color w:val="1F2937"/>
          <w:sz w:val="21"/>
        </w:rPr>
        <w:t xml:space="preserve"> se inicializa por defecto con el valor </w:t>
      </w:r>
      <w:r>
        <w:rPr>
          <w:rFonts w:ascii="Consolas" w:hAnsi="Consolas"/>
          <w:b w:val="0"/>
          <w:i w:val="0"/>
          <w:color w:val="0F172A"/>
          <w:sz w:val="18"/>
        </w:rPr>
        <w:t>0</w:t>
      </w:r>
      <w:r>
        <w:rPr>
          <w:rFonts w:ascii="Calibri" w:hAnsi="Calibri"/>
          <w:b w:val="0"/>
          <w:i w:val="0"/>
          <w:color w:val="1F2937"/>
          <w:sz w:val="21"/>
        </w:rPr>
        <w:t xml:space="preserve">. Al pulsar sobre ella para digitar, el teléfono despliega automáticamente el </w:t>
      </w:r>
      <w:r>
        <w:rPr>
          <w:rFonts w:ascii="Calibri" w:hAnsi="Calibri"/>
          <w:b/>
          <w:i w:val="0"/>
          <w:color w:val="1F2937"/>
          <w:sz w:val="21"/>
        </w:rPr>
        <w:t>teclado numérico nativo de Android</w:t>
      </w:r>
      <w:r>
        <w:rPr>
          <w:rFonts w:ascii="Calibri" w:hAnsi="Calibri"/>
          <w:b w:val="0"/>
          <w:i w:val="0"/>
          <w:color w:val="1F2937"/>
          <w:sz w:val="21"/>
        </w:rPr>
        <w:t>:</w:t>
      </w:r>
    </w:p>
    <w:tbl>
      <w:tblPr>
        <w:tblStyle w:val="12"/>
        <w:tblW w:w="0" w:type="auto"/>
        <w:jc w:val="center"/>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4680"/>
        <w:gridCol w:w="4680"/>
      </w:tblGrid>
      <w:tr w14:paraId="20074E64">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tblHeader/>
          <w:jc w:val="center"/>
        </w:trPr>
        <w:tc>
          <w:tcPr>
            <w:tcW w:w="4680" w:type="dxa"/>
            <w:shd w:val="clear" w:color="auto" w:fill="334155"/>
            <w:tcMar>
              <w:top w:w="100" w:type="dxa"/>
              <w:left w:w="120" w:type="dxa"/>
              <w:bottom w:w="100" w:type="dxa"/>
              <w:right w:w="120" w:type="dxa"/>
            </w:tcMar>
          </w:tcPr>
          <w:p w14:paraId="7C2CA169">
            <w:pPr>
              <w:spacing w:before="0" w:after="0"/>
            </w:pPr>
            <w:r>
              <w:rPr>
                <w:rFonts w:ascii="Calibri" w:hAnsi="Calibri"/>
                <w:b/>
                <w:color w:val="FFFFFF"/>
                <w:sz w:val="19"/>
              </w:rPr>
              <w:t>Casilla N° Factura</w:t>
            </w:r>
          </w:p>
        </w:tc>
        <w:tc>
          <w:tcPr>
            <w:tcW w:w="4680" w:type="dxa"/>
            <w:shd w:val="clear" w:color="auto" w:fill="334155"/>
            <w:tcMar>
              <w:top w:w="100" w:type="dxa"/>
              <w:left w:w="120" w:type="dxa"/>
              <w:bottom w:w="100" w:type="dxa"/>
              <w:right w:w="120" w:type="dxa"/>
            </w:tcMar>
          </w:tcPr>
          <w:p w14:paraId="4B2E13E7">
            <w:pPr>
              <w:spacing w:before="0" w:after="0"/>
            </w:pPr>
            <w:r>
              <w:rPr>
                <w:rFonts w:ascii="Calibri" w:hAnsi="Calibri"/>
                <w:b/>
                <w:color w:val="FFFFFF"/>
                <w:sz w:val="19"/>
              </w:rPr>
              <w:t>Teclado Numérico Nativo Desplegado</w:t>
            </w:r>
          </w:p>
        </w:tc>
      </w:tr>
      <w:tr w14:paraId="1C8C3A90">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4680" w:type="dxa"/>
            <w:shd w:val="clear" w:color="auto" w:fill="FFFFFF"/>
            <w:tcMar>
              <w:top w:w="90" w:type="dxa"/>
              <w:left w:w="120" w:type="dxa"/>
              <w:bottom w:w="90" w:type="dxa"/>
              <w:right w:w="120" w:type="dxa"/>
            </w:tcMar>
          </w:tcPr>
          <w:p w14:paraId="5E1A7CEE">
            <w:pPr>
              <w:spacing w:before="0" w:after="0" w:line="264" w:lineRule="auto"/>
              <w:jc w:val="center"/>
            </w:pPr>
            <w:r>
              <w:drawing>
                <wp:inline distT="0" distB="0" distL="114300" distR="114300">
                  <wp:extent cx="2377440" cy="549910"/>
                  <wp:effectExtent l="9525" t="9525" r="20955" b="196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2377440" cy="550333"/>
                          </a:xfrm>
                          <a:prstGeom prst="rect">
                            <a:avLst/>
                          </a:prstGeom>
                          <a:ln>
                            <a:solidFill>
                              <a:schemeClr val="bg1">
                                <a:lumMod val="85000"/>
                              </a:schemeClr>
                            </a:solidFill>
                          </a:ln>
                        </pic:spPr>
                      </pic:pic>
                    </a:graphicData>
                  </a:graphic>
                </wp:inline>
              </w:drawing>
            </w:r>
          </w:p>
        </w:tc>
        <w:tc>
          <w:tcPr>
            <w:tcW w:w="4680" w:type="dxa"/>
            <w:shd w:val="clear" w:color="auto" w:fill="FFFFFF"/>
            <w:tcMar>
              <w:top w:w="90" w:type="dxa"/>
              <w:left w:w="120" w:type="dxa"/>
              <w:bottom w:w="90" w:type="dxa"/>
              <w:right w:w="120" w:type="dxa"/>
            </w:tcMar>
          </w:tcPr>
          <w:p w14:paraId="51865A14">
            <w:pPr>
              <w:spacing w:before="0" w:after="0" w:line="264" w:lineRule="auto"/>
              <w:jc w:val="center"/>
            </w:pPr>
            <w:r>
              <w:drawing>
                <wp:inline distT="0" distB="0" distL="114300" distR="114300">
                  <wp:extent cx="2377440" cy="2927350"/>
                  <wp:effectExtent l="9525" t="9525" r="20955"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2377440" cy="2927773"/>
                          </a:xfrm>
                          <a:prstGeom prst="rect">
                            <a:avLst/>
                          </a:prstGeom>
                          <a:ln>
                            <a:solidFill>
                              <a:schemeClr val="bg1">
                                <a:lumMod val="85000"/>
                              </a:schemeClr>
                            </a:solidFill>
                          </a:ln>
                        </pic:spPr>
                      </pic:pic>
                    </a:graphicData>
                  </a:graphic>
                </wp:inline>
              </w:drawing>
            </w:r>
          </w:p>
        </w:tc>
      </w:tr>
    </w:tbl>
    <w:p w14:paraId="70941891">
      <w:pPr>
        <w:spacing w:before="0" w:after="120"/>
      </w:pPr>
    </w:p>
    <w:p w14:paraId="4685ADDB">
      <w:pPr>
        <w:pStyle w:val="31"/>
        <w:spacing w:before="0" w:after="50" w:line="276" w:lineRule="auto"/>
        <w:ind w:left="360"/>
      </w:pPr>
      <w:r>
        <w:rPr>
          <w:rFonts w:ascii="Calibri" w:hAnsi="Calibri"/>
          <w:b/>
          <w:i w:val="0"/>
          <w:color w:val="1F2937"/>
          <w:sz w:val="21"/>
        </w:rPr>
        <w:t>Ventaja Operativa en Bodega:</w:t>
      </w:r>
      <w:r>
        <w:rPr>
          <w:rFonts w:ascii="Calibri" w:hAnsi="Calibri"/>
          <w:b w:val="0"/>
          <w:i w:val="0"/>
          <w:color w:val="1F2937"/>
          <w:sz w:val="21"/>
        </w:rPr>
        <w:t xml:space="preserve"> Permite digitar números a una sola mano con teclas agrandadas, sin tener que alternar entre símbolos ni teclear guiones manualmente.</w:t>
      </w:r>
    </w:p>
    <w:p w14:paraId="3A2043A0">
      <w:pPr>
        <w:pStyle w:val="31"/>
        <w:spacing w:before="0" w:after="50" w:line="276" w:lineRule="auto"/>
        <w:ind w:left="360"/>
      </w:pPr>
      <w:r>
        <w:rPr>
          <w:rFonts w:ascii="Calibri" w:hAnsi="Calibri"/>
          <w:b/>
          <w:i w:val="0"/>
          <w:color w:val="1F2937"/>
          <w:sz w:val="21"/>
        </w:rPr>
        <w:t>Unificación de Código:</w:t>
      </w:r>
      <w:r>
        <w:rPr>
          <w:rFonts w:ascii="Calibri" w:hAnsi="Calibri"/>
          <w:b w:val="0"/>
          <w:i w:val="0"/>
          <w:color w:val="1F2937"/>
          <w:sz w:val="21"/>
        </w:rPr>
        <w:t xml:space="preserve"> El sistema concatena internamente el prefijo seleccionado en el Paso 2 con el número digitado (ejemplo: si selecciona </w:t>
      </w:r>
      <w:r>
        <w:rPr>
          <w:rFonts w:ascii="Calibri" w:hAnsi="Calibri"/>
          <w:b/>
          <w:i w:val="0"/>
          <w:color w:val="1F2937"/>
          <w:sz w:val="21"/>
        </w:rPr>
        <w:t>IC</w:t>
      </w:r>
      <w:r>
        <w:rPr>
          <w:rFonts w:ascii="Calibri" w:hAnsi="Calibri"/>
          <w:b w:val="0"/>
          <w:i w:val="0"/>
          <w:color w:val="1F2937"/>
          <w:sz w:val="21"/>
        </w:rPr>
        <w:t xml:space="preserve"> y digita </w:t>
      </w:r>
      <w:r>
        <w:rPr>
          <w:rFonts w:ascii="Consolas" w:hAnsi="Consolas"/>
          <w:b w:val="0"/>
          <w:i w:val="0"/>
          <w:color w:val="0F172A"/>
          <w:sz w:val="18"/>
        </w:rPr>
        <w:t>104744</w:t>
      </w:r>
      <w:r>
        <w:rPr>
          <w:rFonts w:ascii="Calibri" w:hAnsi="Calibri"/>
          <w:b w:val="0"/>
          <w:i w:val="0"/>
          <w:color w:val="1F2937"/>
          <w:sz w:val="21"/>
        </w:rPr>
        <w:t xml:space="preserve">, el comprobante queda registrado oficialmente como </w:t>
      </w:r>
      <w:r>
        <w:rPr>
          <w:rFonts w:ascii="Consolas" w:hAnsi="Consolas"/>
          <w:b w:val="0"/>
          <w:i w:val="0"/>
          <w:color w:val="0F172A"/>
          <w:sz w:val="18"/>
        </w:rPr>
        <w:t>IC-104744</w:t>
      </w:r>
      <w:r>
        <w:rPr>
          <w:rFonts w:ascii="Calibri" w:hAnsi="Calibri"/>
          <w:b w:val="0"/>
          <w:i w:val="0"/>
          <w:color w:val="1F2937"/>
          <w:sz w:val="21"/>
        </w:rPr>
        <w:t>).</w:t>
      </w:r>
    </w:p>
    <w:p w14:paraId="50461961">
      <w:pPr>
        <w:pStyle w:val="4"/>
        <w:keepNext/>
        <w:spacing w:before="200" w:after="60"/>
      </w:pPr>
      <w:r>
        <w:rPr>
          <w:rFonts w:ascii="Calibri" w:hAnsi="Calibri"/>
          <w:b/>
          <w:color w:val="374151"/>
          <w:sz w:val="23"/>
        </w:rPr>
        <w:t>Paso 4: Calificación de Dificultad y Volumen (Campo Puntos Esfuerzo)</w:t>
      </w:r>
    </w:p>
    <w:p w14:paraId="77B4DD76">
      <w:pPr>
        <w:spacing w:before="0" w:after="100" w:line="276" w:lineRule="auto"/>
      </w:pPr>
      <w:r>
        <w:rPr>
          <w:rFonts w:ascii="Calibri" w:hAnsi="Calibri"/>
          <w:b w:val="0"/>
          <w:i w:val="0"/>
          <w:color w:val="1F2937"/>
          <w:sz w:val="21"/>
        </w:rPr>
        <w:t xml:space="preserve">Toque uno de los botones táctiles numerados del </w:t>
      </w:r>
      <w:r>
        <w:rPr>
          <w:rFonts w:ascii="Calibri" w:hAnsi="Calibri"/>
          <w:b/>
          <w:i w:val="0"/>
          <w:color w:val="1F2937"/>
          <w:sz w:val="21"/>
        </w:rPr>
        <w:t>1 al 5</w:t>
      </w:r>
      <w:r>
        <w:rPr>
          <w:rFonts w:ascii="Calibri" w:hAnsi="Calibri"/>
          <w:b w:val="0"/>
          <w:i w:val="0"/>
          <w:color w:val="1F2937"/>
          <w:sz w:val="21"/>
        </w:rPr>
        <w:t xml:space="preserve"> evaluando el esfuerzo físico y la densidad del comprobante:</w:t>
      </w:r>
    </w:p>
    <w:p w14:paraId="24417F56">
      <w:pPr>
        <w:keepNext/>
        <w:keepLines/>
        <w:spacing w:before="120" w:after="60"/>
        <w:jc w:val="center"/>
      </w:pPr>
      <w:r>
        <w:drawing>
          <wp:inline distT="0" distB="0" distL="114300" distR="114300">
            <wp:extent cx="4572000" cy="1057910"/>
            <wp:effectExtent l="9525" t="9525" r="20955"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4572000" cy="1058333"/>
                    </a:xfrm>
                    <a:prstGeom prst="rect">
                      <a:avLst/>
                    </a:prstGeom>
                    <a:ln>
                      <a:solidFill>
                        <a:schemeClr val="bg1">
                          <a:lumMod val="85000"/>
                        </a:schemeClr>
                      </a:solidFill>
                    </a:ln>
                  </pic:spPr>
                </pic:pic>
              </a:graphicData>
            </a:graphic>
          </wp:inline>
        </w:drawing>
      </w:r>
    </w:p>
    <w:p w14:paraId="5A9ACB12">
      <w:pPr>
        <w:keepLines/>
        <w:spacing w:before="20" w:after="120"/>
        <w:jc w:val="center"/>
      </w:pPr>
      <w:r>
        <w:rPr>
          <w:rFonts w:ascii="Calibri" w:hAnsi="Calibri"/>
          <w:i/>
          <w:color w:val="64748B"/>
          <w:sz w:val="17"/>
        </w:rPr>
        <w:t>Selector Puntos Esfuerzo</w:t>
      </w:r>
    </w:p>
    <w:p w14:paraId="03AE1CCC">
      <w:pPr>
        <w:pStyle w:val="31"/>
        <w:spacing w:before="0" w:after="50" w:line="276" w:lineRule="auto"/>
        <w:ind w:left="360"/>
      </w:pPr>
      <w:r>
        <w:rPr>
          <w:rFonts w:ascii="Calibri" w:hAnsi="Calibri"/>
          <w:b/>
          <w:i w:val="0"/>
          <w:color w:val="1F2937"/>
          <w:sz w:val="21"/>
        </w:rPr>
        <w:t>1 punto (Pedido Ligero / Simple):</w:t>
      </w:r>
      <w:r>
        <w:rPr>
          <w:rFonts w:ascii="Calibri" w:hAnsi="Calibri"/>
          <w:b w:val="0"/>
          <w:i w:val="0"/>
          <w:color w:val="1F2937"/>
          <w:sz w:val="21"/>
        </w:rPr>
        <w:t xml:space="preserve"> Facturas pequeñas de 1 a 3 artículos livianos (cintas aislantes, terminales, tornillos) sin esfuerzo físico extra.</w:t>
      </w:r>
    </w:p>
    <w:p w14:paraId="58511375">
      <w:pPr>
        <w:pStyle w:val="31"/>
        <w:spacing w:before="0" w:after="50" w:line="276" w:lineRule="auto"/>
        <w:ind w:left="360"/>
      </w:pPr>
      <w:r>
        <w:rPr>
          <w:rFonts w:ascii="Calibri" w:hAnsi="Calibri"/>
          <w:b/>
          <w:i w:val="0"/>
          <w:color w:val="1F2937"/>
          <w:sz w:val="21"/>
        </w:rPr>
        <w:t>2 a 3 puntos (Pedido Estándar / Mediano):</w:t>
      </w:r>
      <w:r>
        <w:rPr>
          <w:rFonts w:ascii="Calibri" w:hAnsi="Calibri"/>
          <w:b w:val="0"/>
          <w:i w:val="0"/>
          <w:color w:val="1F2937"/>
          <w:sz w:val="21"/>
        </w:rPr>
        <w:t xml:space="preserve"> Pedidos con varias líneas de producto o cajas medianas que requieran recorrido de pasillos y empaque estándar.</w:t>
      </w:r>
    </w:p>
    <w:p w14:paraId="2979493E">
      <w:pPr>
        <w:pStyle w:val="31"/>
        <w:spacing w:before="0" w:after="50" w:line="276" w:lineRule="auto"/>
        <w:ind w:left="360"/>
      </w:pPr>
      <w:r>
        <w:rPr>
          <w:rFonts w:ascii="Calibri" w:hAnsi="Calibri"/>
          <w:b/>
          <w:i w:val="0"/>
          <w:color w:val="1F2937"/>
          <w:sz w:val="21"/>
        </w:rPr>
        <w:t>4 puntos (Pedido Pesado / Con Cortes):</w:t>
      </w:r>
      <w:r>
        <w:rPr>
          <w:rFonts w:ascii="Calibri" w:hAnsi="Calibri"/>
          <w:b w:val="0"/>
          <w:i w:val="0"/>
          <w:color w:val="1F2937"/>
          <w:sz w:val="21"/>
        </w:rPr>
        <w:t xml:space="preserve"> Alistamientos con cortes de cable conductor en calibres medianos, manguera corrugada o cargue de rollos de alambre.</w:t>
      </w:r>
    </w:p>
    <w:p w14:paraId="6B94FDEE">
      <w:pPr>
        <w:pStyle w:val="31"/>
        <w:spacing w:before="0" w:after="50" w:line="276" w:lineRule="auto"/>
        <w:ind w:left="360"/>
      </w:pPr>
      <w:r>
        <w:rPr>
          <w:rFonts w:ascii="Calibri" w:hAnsi="Calibri"/>
          <w:b/>
          <w:i w:val="0"/>
          <w:color w:val="1F2937"/>
          <w:sz w:val="21"/>
        </w:rPr>
        <w:t>5 puntos (Alta Complejidad / Esfuerzo Extremo):</w:t>
      </w:r>
      <w:r>
        <w:rPr>
          <w:rFonts w:ascii="Calibri" w:hAnsi="Calibri"/>
          <w:b w:val="0"/>
          <w:i w:val="0"/>
          <w:color w:val="1F2937"/>
          <w:sz w:val="21"/>
        </w:rPr>
        <w:t xml:space="preserve"> Pedidos con tubería pesada (conduit o PVC de diámetros mayores), corte de conductores de alta sección, bobinas industriales o maniobras con montacargas o estibadores.</w:t>
      </w:r>
    </w:p>
    <w:p w14:paraId="0A447759">
      <w:pPr>
        <w:pStyle w:val="4"/>
        <w:keepNext/>
        <w:spacing w:before="200" w:after="60"/>
      </w:pPr>
      <w:r>
        <w:rPr>
          <w:rFonts w:ascii="Calibri" w:hAnsi="Calibri"/>
          <w:b/>
          <w:color w:val="374151"/>
          <w:sz w:val="23"/>
        </w:rPr>
        <w:t>Paso 5: Calificación de Novedades y Errores (Campo Puntos Error)</w:t>
      </w:r>
    </w:p>
    <w:p w14:paraId="0D9FCFEE">
      <w:pPr>
        <w:spacing w:before="0" w:after="100" w:line="276" w:lineRule="auto"/>
      </w:pPr>
      <w:r>
        <w:rPr>
          <w:rFonts w:ascii="Calibri" w:hAnsi="Calibri"/>
          <w:b w:val="0"/>
          <w:i w:val="0"/>
          <w:color w:val="1F2937"/>
          <w:sz w:val="21"/>
        </w:rPr>
        <w:t xml:space="preserve">El formulario preselecciona automáticamente el botón </w:t>
      </w:r>
      <w:r>
        <w:rPr>
          <w:rFonts w:ascii="Calibri" w:hAnsi="Calibri"/>
          <w:b/>
          <w:i w:val="0"/>
          <w:color w:val="1F2937"/>
          <w:sz w:val="21"/>
        </w:rPr>
        <w:t>0</w:t>
      </w:r>
      <w:r>
        <w:rPr>
          <w:rFonts w:ascii="Calibri" w:hAnsi="Calibri"/>
          <w:b w:val="0"/>
          <w:i w:val="0"/>
          <w:color w:val="1F2937"/>
          <w:sz w:val="21"/>
        </w:rPr>
        <w:t xml:space="preserve"> (resaltado en color azul), indicando despacho conforme:</w:t>
      </w:r>
    </w:p>
    <w:p w14:paraId="4BF75B46">
      <w:pPr>
        <w:keepNext/>
        <w:keepLines/>
        <w:spacing w:before="120" w:after="60"/>
        <w:jc w:val="center"/>
      </w:pPr>
      <w:r>
        <w:drawing>
          <wp:inline distT="0" distB="0" distL="114300" distR="114300">
            <wp:extent cx="4572000" cy="1057910"/>
            <wp:effectExtent l="9525" t="9525" r="20955"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4572000" cy="1058333"/>
                    </a:xfrm>
                    <a:prstGeom prst="rect">
                      <a:avLst/>
                    </a:prstGeom>
                    <a:ln>
                      <a:solidFill>
                        <a:schemeClr val="bg1">
                          <a:lumMod val="85000"/>
                        </a:schemeClr>
                      </a:solidFill>
                    </a:ln>
                  </pic:spPr>
                </pic:pic>
              </a:graphicData>
            </a:graphic>
          </wp:inline>
        </w:drawing>
      </w:r>
    </w:p>
    <w:p w14:paraId="7BBA4B1D">
      <w:pPr>
        <w:keepLines/>
        <w:spacing w:before="20" w:after="120"/>
        <w:jc w:val="center"/>
      </w:pPr>
      <w:r>
        <w:rPr>
          <w:rFonts w:ascii="Calibri" w:hAnsi="Calibri"/>
          <w:i/>
          <w:color w:val="64748B"/>
          <w:sz w:val="17"/>
        </w:rPr>
        <w:t>Selector Puntos Error</w:t>
      </w:r>
    </w:p>
    <w:p w14:paraId="1E9BD9A8">
      <w:pPr>
        <w:pStyle w:val="31"/>
        <w:spacing w:before="0" w:after="50" w:line="276" w:lineRule="auto"/>
        <w:ind w:left="360"/>
      </w:pPr>
      <w:r>
        <w:rPr>
          <w:rFonts w:ascii="Calibri" w:hAnsi="Calibri"/>
          <w:b/>
          <w:i w:val="0"/>
          <w:color w:val="1F2937"/>
          <w:sz w:val="21"/>
        </w:rPr>
        <w:t>0 (Despacho Conforme):</w:t>
      </w:r>
      <w:r>
        <w:rPr>
          <w:rFonts w:ascii="Calibri" w:hAnsi="Calibri"/>
          <w:b w:val="0"/>
          <w:i w:val="0"/>
          <w:color w:val="1F2937"/>
          <w:sz w:val="21"/>
        </w:rPr>
        <w:t xml:space="preserve"> Mercancía completa, referencias exactas y cantidades verificadas sin novedad (valor predeterminado).</w:t>
      </w:r>
    </w:p>
    <w:p w14:paraId="0392E758">
      <w:pPr>
        <w:pStyle w:val="31"/>
        <w:spacing w:before="0" w:after="50" w:line="276" w:lineRule="auto"/>
        <w:ind w:left="360"/>
      </w:pPr>
      <w:r>
        <w:rPr>
          <w:rFonts w:ascii="Calibri" w:hAnsi="Calibri"/>
          <w:b/>
          <w:i w:val="0"/>
          <w:color w:val="1F2937"/>
          <w:sz w:val="21"/>
        </w:rPr>
        <w:t>-1 (Error Leve Subsanable):</w:t>
      </w:r>
      <w:r>
        <w:rPr>
          <w:rFonts w:ascii="Calibri" w:hAnsi="Calibri"/>
          <w:b w:val="0"/>
          <w:i w:val="0"/>
          <w:color w:val="1F2937"/>
          <w:sz w:val="21"/>
        </w:rPr>
        <w:t xml:space="preserve"> Falla menor en el conteo de unidades o artículo mal ubicado que fue corregido en el mostrador sin generar reclamo.</w:t>
      </w:r>
    </w:p>
    <w:p w14:paraId="7F4720EA">
      <w:pPr>
        <w:pStyle w:val="31"/>
        <w:spacing w:before="0" w:after="50" w:line="276" w:lineRule="auto"/>
        <w:ind w:left="360"/>
      </w:pPr>
      <w:r>
        <w:rPr>
          <w:rFonts w:ascii="Calibri" w:hAnsi="Calibri"/>
          <w:b/>
          <w:i w:val="0"/>
          <w:color w:val="1F2937"/>
          <w:sz w:val="21"/>
        </w:rPr>
        <w:t>-2 (Doble Falla):</w:t>
      </w:r>
      <w:r>
        <w:rPr>
          <w:rFonts w:ascii="Calibri" w:hAnsi="Calibri"/>
          <w:b w:val="0"/>
          <w:i w:val="0"/>
          <w:color w:val="1F2937"/>
          <w:sz w:val="21"/>
        </w:rPr>
        <w:t xml:space="preserve"> Dos equivocaciones u omisiones en el mismo pedido.</w:t>
      </w:r>
    </w:p>
    <w:p w14:paraId="3B60FC0A">
      <w:pPr>
        <w:pStyle w:val="31"/>
        <w:spacing w:before="0" w:after="50" w:line="276" w:lineRule="auto"/>
        <w:ind w:left="360"/>
      </w:pPr>
      <w:r>
        <w:rPr>
          <w:rFonts w:ascii="Calibri" w:hAnsi="Calibri"/>
          <w:b/>
          <w:i w:val="0"/>
          <w:color w:val="1F2937"/>
          <w:sz w:val="21"/>
        </w:rPr>
        <w:t>-3 (Falla Crítica):</w:t>
      </w:r>
      <w:r>
        <w:rPr>
          <w:rFonts w:ascii="Calibri" w:hAnsi="Calibri"/>
          <w:b w:val="0"/>
          <w:i w:val="0"/>
          <w:color w:val="1F2937"/>
          <w:sz w:val="21"/>
        </w:rPr>
        <w:t xml:space="preserve"> Corte erróneo de longitud de cable conductor, despacho de calibre equivocado o daño físico al material por mala manipulación en bodega.</w:t>
      </w:r>
    </w:p>
    <w:p w14:paraId="1B9BD19C">
      <w:pPr>
        <w:pStyle w:val="3"/>
        <w:keepNext/>
        <w:spacing w:before="240" w:after="80"/>
      </w:pPr>
      <w:bookmarkStart w:id="7" w:name="_Toc17103"/>
      <w:r>
        <w:rPr>
          <w:rFonts w:ascii="Calibri" w:hAnsi="Calibri"/>
          <w:b/>
          <w:color w:val="334155"/>
          <w:sz w:val="25"/>
        </w:rPr>
        <w:t>3.3. Control de Validación de Errores y Guardado Continuo</w:t>
      </w:r>
      <w:bookmarkEnd w:id="7"/>
    </w:p>
    <w:p w14:paraId="06D4F5B9">
      <w:pPr>
        <w:spacing w:before="0" w:after="100" w:line="276" w:lineRule="auto"/>
      </w:pPr>
      <w:r>
        <w:rPr>
          <w:rFonts w:ascii="Calibri" w:hAnsi="Calibri"/>
          <w:b w:val="0"/>
          <w:i w:val="0"/>
          <w:color w:val="1F2937"/>
          <w:sz w:val="21"/>
        </w:rPr>
        <w:t>Antes de almacenar la transacción, el aplicativo valida la integridad de la información:</w:t>
      </w:r>
    </w:p>
    <w:p w14:paraId="646075E0">
      <w:pPr>
        <w:pStyle w:val="4"/>
        <w:keepNext/>
        <w:spacing w:before="200" w:after="60"/>
      </w:pPr>
      <w:r>
        <w:rPr>
          <w:rFonts w:ascii="Calibri" w:hAnsi="Calibri"/>
          <w:b/>
          <w:color w:val="374151"/>
          <w:sz w:val="23"/>
        </w:rPr>
        <w:t>Detección de Errores de Diligenciamiento</w:t>
      </w:r>
    </w:p>
    <w:p w14:paraId="63CC580B">
      <w:pPr>
        <w:spacing w:before="0" w:after="100" w:line="276" w:lineRule="auto"/>
      </w:pPr>
      <w:r>
        <w:rPr>
          <w:rFonts w:ascii="Calibri" w:hAnsi="Calibri"/>
          <w:b w:val="0"/>
          <w:i w:val="0"/>
          <w:color w:val="1F2937"/>
          <w:sz w:val="21"/>
        </w:rPr>
        <w:t xml:space="preserve">Si el despachador olvida ingresar el número consecutivo y deja el valor en </w:t>
      </w:r>
      <w:r>
        <w:rPr>
          <w:rFonts w:ascii="Consolas" w:hAnsi="Consolas"/>
          <w:b w:val="0"/>
          <w:i w:val="0"/>
          <w:color w:val="0F172A"/>
          <w:sz w:val="18"/>
        </w:rPr>
        <w:t>0</w:t>
      </w:r>
      <w:r>
        <w:rPr>
          <w:rFonts w:ascii="Calibri" w:hAnsi="Calibri"/>
          <w:b w:val="0"/>
          <w:i w:val="0"/>
          <w:color w:val="1F2937"/>
          <w:sz w:val="21"/>
        </w:rPr>
        <w:t>, o no selecciona al colaborador, el sistema bloquea el guardado y resalta la casilla en color rojo con el mensaje de advertencia institucional:</w:t>
      </w:r>
    </w:p>
    <w:p w14:paraId="77CD2F2C">
      <w:pPr>
        <w:keepNext/>
        <w:keepLines/>
        <w:spacing w:before="120" w:after="60"/>
        <w:jc w:val="center"/>
      </w:pPr>
      <w:r>
        <w:drawing>
          <wp:inline distT="0" distB="0" distL="114300" distR="114300">
            <wp:extent cx="1781810" cy="3474720"/>
            <wp:effectExtent l="9525" t="9525" r="22225" b="209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1781907" cy="3474720"/>
                    </a:xfrm>
                    <a:prstGeom prst="rect">
                      <a:avLst/>
                    </a:prstGeom>
                    <a:ln>
                      <a:solidFill>
                        <a:schemeClr val="bg1">
                          <a:lumMod val="85000"/>
                        </a:schemeClr>
                      </a:solidFill>
                    </a:ln>
                  </pic:spPr>
                </pic:pic>
              </a:graphicData>
            </a:graphic>
          </wp:inline>
        </w:drawing>
      </w:r>
    </w:p>
    <w:p w14:paraId="4AD482A1">
      <w:pPr>
        <w:keepLines/>
        <w:spacing w:before="20" w:after="120"/>
        <w:jc w:val="center"/>
      </w:pPr>
      <w:r>
        <w:rPr>
          <w:rFonts w:ascii="Calibri" w:hAnsi="Calibri"/>
          <w:i/>
          <w:color w:val="64748B"/>
          <w:sz w:val="17"/>
        </w:rPr>
        <w:t>Alerta de Validación de Campos Obligatorios</w:t>
      </w:r>
    </w:p>
    <w:p w14:paraId="463E27B9">
      <w:pPr>
        <w:pStyle w:val="31"/>
        <w:spacing w:before="0" w:after="50" w:line="276" w:lineRule="auto"/>
        <w:ind w:left="360"/>
      </w:pPr>
      <w:r>
        <w:rPr>
          <w:rFonts w:ascii="Calibri" w:hAnsi="Calibri"/>
          <w:b w:val="0"/>
          <w:i w:val="0"/>
          <w:color w:val="1F2937"/>
          <w:sz w:val="21"/>
        </w:rPr>
        <w:t xml:space="preserve">Mensaje de validación: </w:t>
      </w:r>
      <w:r>
        <w:rPr>
          <w:rFonts w:ascii="Calibri" w:hAnsi="Calibri"/>
          <w:b/>
          <w:i w:val="0"/>
          <w:color w:val="1F2937"/>
          <w:sz w:val="21"/>
        </w:rPr>
        <w:t>This entry is required</w:t>
      </w:r>
      <w:r>
        <w:rPr>
          <w:rFonts w:ascii="Calibri" w:hAnsi="Calibri"/>
          <w:b w:val="0"/>
          <w:i w:val="0"/>
          <w:color w:val="1F2937"/>
          <w:sz w:val="21"/>
        </w:rPr>
        <w:t xml:space="preserve"> (Esta entrada es obligatoria). El sistema no permite guardar comprobantes con número </w:t>
      </w:r>
      <w:r>
        <w:rPr>
          <w:rFonts w:ascii="Consolas" w:hAnsi="Consolas"/>
          <w:b w:val="0"/>
          <w:i w:val="0"/>
          <w:color w:val="0F172A"/>
          <w:sz w:val="18"/>
        </w:rPr>
        <w:t>0</w:t>
      </w:r>
      <w:r>
        <w:rPr>
          <w:rFonts w:ascii="Calibri" w:hAnsi="Calibri"/>
          <w:b w:val="0"/>
          <w:i w:val="0"/>
          <w:color w:val="1F2937"/>
          <w:sz w:val="21"/>
        </w:rPr>
        <w:t xml:space="preserve"> ni registros sin auxiliar asignado.</w:t>
      </w:r>
    </w:p>
    <w:p w14:paraId="53F00EA4">
      <w:pPr>
        <w:pStyle w:val="4"/>
        <w:keepNext/>
        <w:spacing w:before="200" w:after="60"/>
      </w:pPr>
      <w:r>
        <w:rPr>
          <w:rFonts w:ascii="Calibri" w:hAnsi="Calibri"/>
          <w:b/>
          <w:color w:val="374151"/>
          <w:sz w:val="23"/>
        </w:rPr>
        <w:t>Formulario Listo y Botón Save</w:t>
      </w:r>
    </w:p>
    <w:p w14:paraId="07D986E2">
      <w:pPr>
        <w:spacing w:before="0" w:after="100" w:line="276" w:lineRule="auto"/>
      </w:pPr>
      <w:r>
        <w:rPr>
          <w:rFonts w:ascii="Calibri" w:hAnsi="Calibri"/>
          <w:b w:val="0"/>
          <w:i w:val="0"/>
          <w:color w:val="1F2937"/>
          <w:sz w:val="21"/>
        </w:rPr>
        <w:t>Una vez completados los cinco campos obligatorios, el formulario queda listo para su procesamiento:</w:t>
      </w:r>
    </w:p>
    <w:p w14:paraId="3872BD18">
      <w:pPr>
        <w:keepNext/>
        <w:keepLines/>
        <w:spacing w:before="120" w:after="60"/>
        <w:jc w:val="center"/>
      </w:pPr>
      <w:r>
        <w:drawing>
          <wp:inline distT="0" distB="0" distL="114300" distR="114300">
            <wp:extent cx="1781810" cy="3474720"/>
            <wp:effectExtent l="9525" t="9525" r="22225" b="209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1781907" cy="3474720"/>
                    </a:xfrm>
                    <a:prstGeom prst="rect">
                      <a:avLst/>
                    </a:prstGeom>
                    <a:ln>
                      <a:solidFill>
                        <a:schemeClr val="bg1">
                          <a:lumMod val="85000"/>
                        </a:schemeClr>
                      </a:solidFill>
                    </a:ln>
                  </pic:spPr>
                </pic:pic>
              </a:graphicData>
            </a:graphic>
          </wp:inline>
        </w:drawing>
      </w:r>
    </w:p>
    <w:p w14:paraId="7F2AF97C">
      <w:pPr>
        <w:keepLines/>
        <w:spacing w:before="20" w:after="120"/>
        <w:jc w:val="center"/>
      </w:pPr>
      <w:r>
        <w:rPr>
          <w:rFonts w:ascii="Calibri" w:hAnsi="Calibri"/>
          <w:i/>
          <w:color w:val="64748B"/>
          <w:sz w:val="17"/>
        </w:rPr>
        <w:t>Formulario Completo Listo para Guardar</w:t>
      </w:r>
    </w:p>
    <w:p w14:paraId="7BC33ABD">
      <w:pPr>
        <w:spacing w:before="0" w:after="100" w:line="276" w:lineRule="auto"/>
      </w:pPr>
      <w:r>
        <w:rPr>
          <w:rFonts w:ascii="Calibri" w:hAnsi="Calibri"/>
          <w:b w:val="0"/>
          <w:i w:val="0"/>
          <w:color w:val="1F2937"/>
          <w:sz w:val="21"/>
        </w:rPr>
        <w:t xml:space="preserve">Para consolidar la orden, toque el botón </w:t>
      </w:r>
      <w:r>
        <w:rPr>
          <w:rFonts w:ascii="Calibri" w:hAnsi="Calibri"/>
          <w:b/>
          <w:i w:val="0"/>
          <w:color w:val="1F2937"/>
          <w:sz w:val="21"/>
        </w:rPr>
        <w:t>Save</w:t>
      </w:r>
      <w:r>
        <w:rPr>
          <w:rFonts w:ascii="Calibri" w:hAnsi="Calibri"/>
          <w:b w:val="0"/>
          <w:i w:val="0"/>
          <w:color w:val="1F2937"/>
          <w:sz w:val="21"/>
        </w:rPr>
        <w:t xml:space="preserve"> (Guardar) ubicado en la esquina inferior derecha:</w:t>
      </w:r>
    </w:p>
    <w:p w14:paraId="295A90AB">
      <w:pPr>
        <w:keepNext/>
        <w:keepLines/>
        <w:spacing w:before="120" w:after="60"/>
        <w:jc w:val="center"/>
      </w:pPr>
      <w:r>
        <w:drawing>
          <wp:inline distT="0" distB="0" distL="114300" distR="114300">
            <wp:extent cx="4826000" cy="687705"/>
            <wp:effectExtent l="9525" t="9525" r="10795"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4826000" cy="688151"/>
                    </a:xfrm>
                    <a:prstGeom prst="rect">
                      <a:avLst/>
                    </a:prstGeom>
                    <a:ln>
                      <a:solidFill>
                        <a:schemeClr val="bg1">
                          <a:lumMod val="85000"/>
                        </a:schemeClr>
                      </a:solidFill>
                    </a:ln>
                  </pic:spPr>
                </pic:pic>
              </a:graphicData>
            </a:graphic>
          </wp:inline>
        </w:drawing>
      </w:r>
    </w:p>
    <w:p w14:paraId="05701B00">
      <w:pPr>
        <w:keepLines/>
        <w:spacing w:before="20" w:after="120"/>
        <w:jc w:val="center"/>
      </w:pPr>
      <w:r>
        <w:rPr>
          <w:rFonts w:ascii="Calibri" w:hAnsi="Calibri"/>
          <w:i/>
          <w:color w:val="64748B"/>
          <w:sz w:val="17"/>
        </w:rPr>
        <w:t>Botón Guardar Save</w:t>
      </w:r>
    </w:p>
    <w:p w14:paraId="3868893C">
      <w:pPr>
        <w:pStyle w:val="31"/>
        <w:spacing w:before="0" w:after="50" w:line="276" w:lineRule="auto"/>
        <w:ind w:left="360"/>
      </w:pPr>
      <w:r>
        <w:rPr>
          <w:rFonts w:ascii="Calibri" w:hAnsi="Calibri"/>
          <w:b/>
          <w:i w:val="0"/>
          <w:color w:val="1F2937"/>
          <w:sz w:val="21"/>
        </w:rPr>
        <w:t>Envío Inmediato:</w:t>
      </w:r>
      <w:r>
        <w:rPr>
          <w:rFonts w:ascii="Calibri" w:hAnsi="Calibri"/>
          <w:b w:val="0"/>
          <w:i w:val="0"/>
          <w:color w:val="1F2937"/>
          <w:sz w:val="21"/>
        </w:rPr>
        <w:t xml:space="preserve"> El registro se transmite en tiempo real a la base de datos central en la nube.</w:t>
      </w:r>
    </w:p>
    <w:p w14:paraId="0D3C3354">
      <w:pPr>
        <w:pStyle w:val="31"/>
        <w:spacing w:before="0" w:after="50" w:line="276" w:lineRule="auto"/>
        <w:ind w:left="360"/>
      </w:pPr>
      <w:r>
        <w:rPr>
          <w:rFonts w:ascii="Calibri" w:hAnsi="Calibri"/>
          <w:b/>
          <w:i w:val="0"/>
          <w:color w:val="1F2937"/>
          <w:sz w:val="21"/>
        </w:rPr>
        <w:t>Recarga Continua:</w:t>
      </w:r>
      <w:r>
        <w:rPr>
          <w:rFonts w:ascii="Calibri" w:hAnsi="Calibri"/>
          <w:b w:val="0"/>
          <w:i w:val="0"/>
          <w:color w:val="1F2937"/>
          <w:sz w:val="21"/>
        </w:rPr>
        <w:t xml:space="preserve"> El formulario </w:t>
      </w:r>
      <w:r>
        <w:rPr>
          <w:rFonts w:ascii="Calibri" w:hAnsi="Calibri"/>
          <w:b/>
          <w:i w:val="0"/>
          <w:color w:val="1F2937"/>
          <w:sz w:val="21"/>
        </w:rPr>
        <w:t>permanece en pantalla y se limpia automáticamente en blanco</w:t>
      </w:r>
      <w:r>
        <w:rPr>
          <w:rFonts w:ascii="Calibri" w:hAnsi="Calibri"/>
          <w:b w:val="0"/>
          <w:i w:val="0"/>
          <w:color w:val="1F2937"/>
          <w:sz w:val="21"/>
        </w:rPr>
        <w:t>, listo para capturar el siguiente comprobante de manera inmediata.</w:t>
      </w:r>
      <w:bookmarkStart w:id="8" w:name="_Toc2149"/>
    </w:p>
    <w:p w14:paraId="72FC9FAA">
      <w:pPr>
        <w:rPr>
          <w:rFonts w:ascii="Calibri" w:hAnsi="Calibri"/>
          <w:b/>
          <w:color w:val="1E293B"/>
          <w:sz w:val="30"/>
        </w:rPr>
      </w:pPr>
      <w:r>
        <w:rPr>
          <w:rFonts w:ascii="Calibri" w:hAnsi="Calibri"/>
          <w:b/>
          <w:color w:val="1E293B"/>
          <w:sz w:val="30"/>
        </w:rPr>
        <w:br w:type="page"/>
      </w:r>
    </w:p>
    <w:p w14:paraId="7343C081">
      <w:pPr>
        <w:pStyle w:val="31"/>
        <w:numPr>
          <w:numId w:val="0"/>
        </w:numPr>
        <w:spacing w:before="0" w:after="50" w:line="276" w:lineRule="auto"/>
        <w:ind w:leftChars="0"/>
      </w:pPr>
      <w:r>
        <w:rPr>
          <w:rFonts w:ascii="Calibri" w:hAnsi="Calibri"/>
          <w:b/>
          <w:color w:val="1E293B"/>
          <w:sz w:val="30"/>
        </w:rPr>
        <w:t>4. Módulo 2: Historial Hoy (Auditoría Diaria y Ventanas de Detalle)</w:t>
      </w:r>
      <w:bookmarkEnd w:id="8"/>
    </w:p>
    <w:p w14:paraId="039D4287">
      <w:pPr>
        <w:spacing w:before="0" w:after="100" w:line="276" w:lineRule="auto"/>
      </w:pPr>
      <w:r>
        <w:rPr>
          <w:rFonts w:ascii="Calibri" w:hAnsi="Calibri"/>
          <w:b w:val="0"/>
          <w:i w:val="0"/>
          <w:color w:val="1F2937"/>
          <w:sz w:val="21"/>
        </w:rPr>
        <w:t xml:space="preserve">El módulo </w:t>
      </w:r>
      <w:r>
        <w:rPr>
          <w:rFonts w:ascii="Calibri" w:hAnsi="Calibri"/>
          <w:b/>
          <w:i w:val="0"/>
          <w:color w:val="1F2937"/>
          <w:sz w:val="21"/>
        </w:rPr>
        <w:t>HISTORIAL HOY</w:t>
      </w:r>
      <w:r>
        <w:rPr>
          <w:rFonts w:ascii="Calibri" w:hAnsi="Calibri"/>
          <w:b w:val="0"/>
          <w:i w:val="0"/>
          <w:color w:val="1F2937"/>
          <w:sz w:val="21"/>
        </w:rPr>
        <w:t xml:space="preserve"> es el panel de control diario para auditar el ritmo de alistamiento de la jornada, consultar comprobantes y corregir errores de captura recientes.</w:t>
      </w:r>
    </w:p>
    <w:p w14:paraId="29C8629D">
      <w:pPr>
        <w:pStyle w:val="3"/>
        <w:keepNext/>
        <w:spacing w:before="240" w:after="80"/>
      </w:pPr>
      <w:bookmarkStart w:id="9" w:name="_Toc25957"/>
      <w:r>
        <w:rPr>
          <w:rFonts w:ascii="Calibri" w:hAnsi="Calibri"/>
          <w:b/>
          <w:color w:val="334155"/>
          <w:sz w:val="25"/>
        </w:rPr>
        <w:t>4.1. Acceso a la Lista Diaria de Despachos</w:t>
      </w:r>
      <w:bookmarkEnd w:id="9"/>
    </w:p>
    <w:p w14:paraId="65ADD328">
      <w:pPr>
        <w:spacing w:before="0" w:after="100" w:line="276" w:lineRule="auto"/>
      </w:pPr>
      <w:r>
        <w:rPr>
          <w:rFonts w:ascii="Calibri" w:hAnsi="Calibri"/>
          <w:b w:val="0"/>
          <w:i w:val="0"/>
          <w:color w:val="1F2937"/>
          <w:sz w:val="21"/>
        </w:rPr>
        <w:t xml:space="preserve">En la barra inferior de navegación, pulse la opción </w:t>
      </w:r>
      <w:r>
        <w:rPr>
          <w:rFonts w:ascii="Calibri" w:hAnsi="Calibri"/>
          <w:b/>
          <w:i w:val="0"/>
          <w:color w:val="1F2937"/>
          <w:sz w:val="21"/>
        </w:rPr>
        <w:t>HISTORIAL HOY</w:t>
      </w:r>
      <w:r>
        <w:rPr>
          <w:rFonts w:ascii="Calibri" w:hAnsi="Calibri"/>
          <w:b w:val="0"/>
          <w:i w:val="0"/>
          <w:color w:val="1F2937"/>
          <w:sz w:val="21"/>
        </w:rPr>
        <w:t>:</w:t>
      </w:r>
    </w:p>
    <w:p w14:paraId="1C7343D4">
      <w:pPr>
        <w:keepNext/>
        <w:keepLines/>
        <w:spacing w:before="120" w:after="60"/>
        <w:jc w:val="center"/>
      </w:pPr>
      <w:r>
        <w:drawing>
          <wp:inline distT="0" distB="0" distL="114300" distR="114300">
            <wp:extent cx="4826000" cy="687705"/>
            <wp:effectExtent l="9525" t="9525" r="1079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4826000" cy="688151"/>
                    </a:xfrm>
                    <a:prstGeom prst="rect">
                      <a:avLst/>
                    </a:prstGeom>
                    <a:ln>
                      <a:solidFill>
                        <a:schemeClr val="bg1">
                          <a:lumMod val="85000"/>
                        </a:schemeClr>
                      </a:solidFill>
                    </a:ln>
                  </pic:spPr>
                </pic:pic>
              </a:graphicData>
            </a:graphic>
          </wp:inline>
        </w:drawing>
      </w:r>
    </w:p>
    <w:p w14:paraId="622F32A7">
      <w:pPr>
        <w:keepLines/>
        <w:spacing w:before="20" w:after="120"/>
        <w:jc w:val="center"/>
      </w:pPr>
      <w:r>
        <w:rPr>
          <w:rFonts w:ascii="Calibri" w:hAnsi="Calibri"/>
          <w:i/>
          <w:color w:val="64748B"/>
          <w:sz w:val="17"/>
        </w:rPr>
        <w:t>Pestaña Historial Hoy</w:t>
      </w:r>
    </w:p>
    <w:p w14:paraId="061CB0CA">
      <w:pPr>
        <w:spacing w:before="0" w:after="100" w:line="276" w:lineRule="auto"/>
      </w:pPr>
      <w:r>
        <w:rPr>
          <w:rFonts w:ascii="Calibri" w:hAnsi="Calibri"/>
          <w:b w:val="0"/>
          <w:i w:val="0"/>
          <w:color w:val="1F2937"/>
          <w:sz w:val="21"/>
        </w:rPr>
        <w:t>A continuación, la pantalla despliega la lista cronológica de despachos registrados durante el turno:</w:t>
      </w:r>
    </w:p>
    <w:p w14:paraId="6D507B09">
      <w:pPr>
        <w:keepNext/>
        <w:keepLines/>
        <w:spacing w:before="120" w:after="60"/>
        <w:jc w:val="center"/>
      </w:pPr>
      <w:r>
        <w:drawing>
          <wp:inline distT="0" distB="0" distL="114300" distR="114300">
            <wp:extent cx="1781810" cy="3474720"/>
            <wp:effectExtent l="9525" t="9525" r="22225" b="209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1781907" cy="3474720"/>
                    </a:xfrm>
                    <a:prstGeom prst="rect">
                      <a:avLst/>
                    </a:prstGeom>
                    <a:ln>
                      <a:solidFill>
                        <a:schemeClr val="bg1">
                          <a:lumMod val="85000"/>
                        </a:schemeClr>
                      </a:solidFill>
                    </a:ln>
                  </pic:spPr>
                </pic:pic>
              </a:graphicData>
            </a:graphic>
          </wp:inline>
        </w:drawing>
      </w:r>
    </w:p>
    <w:p w14:paraId="266B6F6A">
      <w:pPr>
        <w:keepLines/>
        <w:spacing w:before="20" w:after="120"/>
        <w:jc w:val="center"/>
      </w:pPr>
      <w:r>
        <w:rPr>
          <w:rFonts w:ascii="Calibri" w:hAnsi="Calibri"/>
          <w:i/>
          <w:color w:val="64748B"/>
          <w:sz w:val="17"/>
        </w:rPr>
        <w:t>Listado Historial Hoy</w:t>
      </w:r>
    </w:p>
    <w:p w14:paraId="79E1B1CB">
      <w:pPr>
        <w:pStyle w:val="4"/>
        <w:keepNext/>
        <w:spacing w:before="200" w:after="60"/>
      </w:pPr>
      <w:r>
        <w:rPr>
          <w:rFonts w:ascii="Calibri" w:hAnsi="Calibri"/>
          <w:b/>
          <w:color w:val="374151"/>
          <w:sz w:val="23"/>
        </w:rPr>
        <w:t>Elementos Visuales de la Lista:</w:t>
      </w:r>
    </w:p>
    <w:p w14:paraId="07B765A5">
      <w:pPr>
        <w:pStyle w:val="31"/>
        <w:spacing w:before="0" w:after="50" w:line="276" w:lineRule="auto"/>
        <w:ind w:left="360"/>
      </w:pPr>
      <w:r>
        <w:rPr>
          <w:rFonts w:ascii="Calibri" w:hAnsi="Calibri"/>
          <w:b/>
          <w:i w:val="0"/>
          <w:color w:val="1F2937"/>
          <w:sz w:val="21"/>
        </w:rPr>
        <w:t>Barra Superior:</w:t>
      </w:r>
      <w:r>
        <w:rPr>
          <w:rFonts w:ascii="Calibri" w:hAnsi="Calibri"/>
          <w:b w:val="0"/>
          <w:i w:val="0"/>
          <w:color w:val="1F2937"/>
          <w:sz w:val="21"/>
        </w:rPr>
        <w:t xml:space="preserve"> Contiene el menú lateral de opciones, la herramienta de búsqueda interactiva (lupa) para filtrar facturas o empleados por texto, y el botón de sincronización manual.</w:t>
      </w:r>
    </w:p>
    <w:p w14:paraId="785A0FD4">
      <w:pPr>
        <w:pStyle w:val="31"/>
        <w:spacing w:before="0" w:after="50" w:line="276" w:lineRule="auto"/>
        <w:ind w:left="360"/>
      </w:pPr>
      <w:r>
        <w:rPr>
          <w:rFonts w:ascii="Calibri" w:hAnsi="Calibri"/>
          <w:b/>
          <w:i w:val="0"/>
          <w:color w:val="1F2937"/>
          <w:sz w:val="21"/>
        </w:rPr>
        <w:t>Columnas de la Tabla:</w:t>
      </w:r>
    </w:p>
    <w:p w14:paraId="0B681792">
      <w:pPr>
        <w:pStyle w:val="31"/>
        <w:spacing w:before="0" w:after="50" w:line="276" w:lineRule="auto"/>
        <w:ind w:left="720"/>
      </w:pPr>
      <w:r>
        <w:rPr>
          <w:rFonts w:ascii="Calibri" w:hAnsi="Calibri"/>
          <w:b/>
          <w:i w:val="0"/>
          <w:color w:val="1F2937"/>
          <w:sz w:val="21"/>
        </w:rPr>
        <w:t>Hora:</w:t>
      </w:r>
      <w:r>
        <w:rPr>
          <w:rFonts w:ascii="Calibri" w:hAnsi="Calibri"/>
          <w:b w:val="0"/>
          <w:i w:val="0"/>
          <w:color w:val="1F2937"/>
          <w:sz w:val="21"/>
        </w:rPr>
        <w:t xml:space="preserve"> Hora exacta de captura del despacho (ejemplo: </w:t>
      </w:r>
      <w:r>
        <w:rPr>
          <w:rFonts w:ascii="Consolas" w:hAnsi="Consolas"/>
          <w:b w:val="0"/>
          <w:i w:val="0"/>
          <w:color w:val="0F172A"/>
          <w:sz w:val="18"/>
        </w:rPr>
        <w:t>6:08 p. m.</w:t>
      </w:r>
      <w:r>
        <w:rPr>
          <w:rFonts w:ascii="Calibri" w:hAnsi="Calibri"/>
          <w:b w:val="0"/>
          <w:i w:val="0"/>
          <w:color w:val="1F2937"/>
          <w:sz w:val="21"/>
        </w:rPr>
        <w:t xml:space="preserve">, </w:t>
      </w:r>
      <w:r>
        <w:rPr>
          <w:rFonts w:ascii="Consolas" w:hAnsi="Consolas"/>
          <w:b w:val="0"/>
          <w:i w:val="0"/>
          <w:color w:val="0F172A"/>
          <w:sz w:val="18"/>
        </w:rPr>
        <w:t>6:07 p. m.</w:t>
      </w:r>
      <w:r>
        <w:rPr>
          <w:rFonts w:ascii="Calibri" w:hAnsi="Calibri"/>
          <w:b w:val="0"/>
          <w:i w:val="0"/>
          <w:color w:val="1F2937"/>
          <w:sz w:val="21"/>
        </w:rPr>
        <w:t xml:space="preserve">, </w:t>
      </w:r>
      <w:r>
        <w:rPr>
          <w:rFonts w:ascii="Consolas" w:hAnsi="Consolas"/>
          <w:b w:val="0"/>
          <w:i w:val="0"/>
          <w:color w:val="0F172A"/>
          <w:sz w:val="18"/>
        </w:rPr>
        <w:t>6:06 p. m.</w:t>
      </w:r>
      <w:r>
        <w:rPr>
          <w:rFonts w:ascii="Calibri" w:hAnsi="Calibri"/>
          <w:b w:val="0"/>
          <w:i w:val="0"/>
          <w:color w:val="1F2937"/>
          <w:sz w:val="21"/>
        </w:rPr>
        <w:t>).</w:t>
      </w:r>
    </w:p>
    <w:p w14:paraId="1E7895BE">
      <w:pPr>
        <w:pStyle w:val="31"/>
        <w:spacing w:before="0" w:after="50" w:line="276" w:lineRule="auto"/>
        <w:ind w:left="720"/>
      </w:pPr>
      <w:r>
        <w:rPr>
          <w:rFonts w:ascii="Calibri" w:hAnsi="Calibri"/>
          <w:b/>
          <w:i w:val="0"/>
          <w:color w:val="1F2937"/>
          <w:sz w:val="21"/>
        </w:rPr>
        <w:t>Factura:</w:t>
      </w:r>
      <w:r>
        <w:rPr>
          <w:rFonts w:ascii="Calibri" w:hAnsi="Calibri"/>
          <w:b w:val="0"/>
          <w:i w:val="0"/>
          <w:color w:val="1F2937"/>
          <w:sz w:val="21"/>
        </w:rPr>
        <w:t xml:space="preserve"> Código unificado del comprobante (ejemplo: </w:t>
      </w:r>
      <w:r>
        <w:rPr>
          <w:rFonts w:ascii="Consolas" w:hAnsi="Consolas"/>
          <w:b w:val="0"/>
          <w:i w:val="0"/>
          <w:color w:val="0F172A"/>
          <w:sz w:val="18"/>
        </w:rPr>
        <w:t>IC-104766</w:t>
      </w:r>
      <w:r>
        <w:rPr>
          <w:rFonts w:ascii="Calibri" w:hAnsi="Calibri"/>
          <w:b w:val="0"/>
          <w:i w:val="0"/>
          <w:color w:val="1F2937"/>
          <w:sz w:val="21"/>
        </w:rPr>
        <w:t xml:space="preserve">, </w:t>
      </w:r>
      <w:r>
        <w:rPr>
          <w:rFonts w:ascii="Consolas" w:hAnsi="Consolas"/>
          <w:b w:val="0"/>
          <w:i w:val="0"/>
          <w:color w:val="0F172A"/>
          <w:sz w:val="18"/>
        </w:rPr>
        <w:t>DP-36337</w:t>
      </w:r>
      <w:r>
        <w:rPr>
          <w:rFonts w:ascii="Calibri" w:hAnsi="Calibri"/>
          <w:b w:val="0"/>
          <w:i w:val="0"/>
          <w:color w:val="1F2937"/>
          <w:sz w:val="21"/>
        </w:rPr>
        <w:t xml:space="preserve">, </w:t>
      </w:r>
      <w:r>
        <w:rPr>
          <w:rFonts w:ascii="Consolas" w:hAnsi="Consolas"/>
          <w:b w:val="0"/>
          <w:i w:val="0"/>
          <w:color w:val="0F172A"/>
          <w:sz w:val="18"/>
        </w:rPr>
        <w:t>IR-48371</w:t>
      </w:r>
      <w:r>
        <w:rPr>
          <w:rFonts w:ascii="Calibri" w:hAnsi="Calibri"/>
          <w:b w:val="0"/>
          <w:i w:val="0"/>
          <w:color w:val="1F2937"/>
          <w:sz w:val="21"/>
        </w:rPr>
        <w:t>).</w:t>
      </w:r>
    </w:p>
    <w:p w14:paraId="5CC51220">
      <w:pPr>
        <w:pStyle w:val="31"/>
        <w:spacing w:before="0" w:after="50" w:line="276" w:lineRule="auto"/>
        <w:ind w:left="720"/>
      </w:pPr>
      <w:r>
        <w:rPr>
          <w:rFonts w:ascii="Calibri" w:hAnsi="Calibri"/>
          <w:b/>
          <w:i w:val="0"/>
          <w:color w:val="1F2937"/>
          <w:sz w:val="21"/>
        </w:rPr>
        <w:t>Empleado:</w:t>
      </w:r>
      <w:r>
        <w:rPr>
          <w:rFonts w:ascii="Calibri" w:hAnsi="Calibri"/>
          <w:b w:val="0"/>
          <w:i w:val="0"/>
          <w:color w:val="1F2937"/>
          <w:sz w:val="21"/>
        </w:rPr>
        <w:t xml:space="preserve"> Nombre completo del auxiliar responsable del alistamiento.</w:t>
      </w:r>
    </w:p>
    <w:p w14:paraId="0DF0AE7F">
      <w:pPr>
        <w:pStyle w:val="31"/>
        <w:spacing w:before="0" w:after="50" w:line="276" w:lineRule="auto"/>
        <w:ind w:left="360"/>
      </w:pPr>
      <w:r>
        <w:rPr>
          <w:rFonts w:ascii="Calibri" w:hAnsi="Calibri"/>
          <w:b/>
          <w:i w:val="0"/>
          <w:color w:val="1F2937"/>
          <w:sz w:val="21"/>
        </w:rPr>
        <w:t>Orden Cronológico Inverso:</w:t>
      </w:r>
      <w:r>
        <w:rPr>
          <w:rFonts w:ascii="Calibri" w:hAnsi="Calibri"/>
          <w:b w:val="0"/>
          <w:i w:val="0"/>
          <w:color w:val="1F2937"/>
          <w:sz w:val="21"/>
        </w:rPr>
        <w:t xml:space="preserve"> El comprobante más reciente siempre encabeza la lista para verificación inmediata.</w:t>
      </w:r>
    </w:p>
    <w:p w14:paraId="4E334515">
      <w:pPr>
        <w:pStyle w:val="31"/>
        <w:spacing w:before="0" w:after="50" w:line="276" w:lineRule="auto"/>
        <w:ind w:left="360"/>
      </w:pPr>
      <w:r>
        <w:rPr>
          <w:rFonts w:ascii="Calibri" w:hAnsi="Calibri"/>
          <w:b/>
          <w:i w:val="0"/>
          <w:color w:val="1F2937"/>
          <w:sz w:val="21"/>
        </w:rPr>
        <w:t>Botón Flotante para Nuevo Registro:</w:t>
      </w:r>
      <w:r>
        <w:rPr>
          <w:rFonts w:ascii="Calibri" w:hAnsi="Calibri"/>
          <w:b w:val="0"/>
          <w:i w:val="0"/>
          <w:color w:val="1F2937"/>
          <w:sz w:val="21"/>
        </w:rPr>
        <w:t xml:space="preserve"> El botón circular azul ubicado en la esquina inferior derecha permite abrir un nuevo formulario de captura sin salir del módulo de historial.</w:t>
      </w:r>
    </w:p>
    <w:p w14:paraId="3B9BD9B1">
      <w:pPr>
        <w:pStyle w:val="3"/>
        <w:keepNext/>
        <w:spacing w:before="240" w:after="80"/>
      </w:pPr>
      <w:bookmarkStart w:id="10" w:name="_Toc26443"/>
      <w:r>
        <w:rPr>
          <w:rFonts w:ascii="Calibri" w:hAnsi="Calibri"/>
          <w:b/>
          <w:color w:val="334155"/>
          <w:sz w:val="25"/>
        </w:rPr>
        <w:t>4.2. Ventana de Detalle del Despacho</w:t>
      </w:r>
      <w:bookmarkEnd w:id="10"/>
    </w:p>
    <w:p w14:paraId="5CBD4AA1">
      <w:pPr>
        <w:spacing w:before="0" w:after="100" w:line="276" w:lineRule="auto"/>
      </w:pPr>
      <w:r>
        <w:rPr>
          <w:rFonts w:ascii="Calibri" w:hAnsi="Calibri"/>
          <w:b w:val="0"/>
          <w:i w:val="0"/>
          <w:color w:val="1F2937"/>
          <w:sz w:val="21"/>
        </w:rPr>
        <w:t xml:space="preserve">Al pulsar sobre cualquier renglón del listado diario, la aplicación abre la ventana de detalle individual del despacho. Esta vista contiene exactamente </w:t>
      </w:r>
      <w:r>
        <w:rPr>
          <w:rFonts w:ascii="Calibri" w:hAnsi="Calibri"/>
          <w:b/>
          <w:i w:val="0"/>
          <w:color w:val="1F2937"/>
          <w:sz w:val="21"/>
        </w:rPr>
        <w:t>cuatro datos clave</w:t>
      </w:r>
      <w:r>
        <w:rPr>
          <w:rFonts w:ascii="Calibri" w:hAnsi="Calibri"/>
          <w:b w:val="0"/>
          <w:i w:val="0"/>
          <w:color w:val="1F2937"/>
          <w:sz w:val="21"/>
        </w:rPr>
        <w:t>:</w:t>
      </w:r>
    </w:p>
    <w:p w14:paraId="2755C1D5">
      <w:pPr>
        <w:pStyle w:val="31"/>
        <w:spacing w:before="0" w:after="50" w:line="276" w:lineRule="auto"/>
        <w:ind w:left="360"/>
      </w:pPr>
      <w:r>
        <w:rPr>
          <w:rFonts w:ascii="Calibri" w:hAnsi="Calibri"/>
          <w:b/>
          <w:i w:val="0"/>
          <w:color w:val="1F2937"/>
          <w:sz w:val="21"/>
        </w:rPr>
        <w:t>Factura:</w:t>
      </w:r>
      <w:r>
        <w:rPr>
          <w:rFonts w:ascii="Calibri" w:hAnsi="Calibri"/>
          <w:b w:val="0"/>
          <w:i w:val="0"/>
          <w:color w:val="1F2937"/>
          <w:sz w:val="21"/>
        </w:rPr>
        <w:t xml:space="preserve"> Identificador completo del comprobante (ejemplo: </w:t>
      </w:r>
      <w:r>
        <w:rPr>
          <w:rFonts w:ascii="Consolas" w:hAnsi="Consolas"/>
          <w:b w:val="0"/>
          <w:i w:val="0"/>
          <w:color w:val="0F172A"/>
          <w:sz w:val="18"/>
        </w:rPr>
        <w:t>IC-104766</w:t>
      </w:r>
      <w:r>
        <w:rPr>
          <w:rFonts w:ascii="Calibri" w:hAnsi="Calibri"/>
          <w:b w:val="0"/>
          <w:i w:val="0"/>
          <w:color w:val="1F2937"/>
          <w:sz w:val="21"/>
        </w:rPr>
        <w:t xml:space="preserve"> o </w:t>
      </w:r>
      <w:r>
        <w:rPr>
          <w:rFonts w:ascii="Consolas" w:hAnsi="Consolas"/>
          <w:b w:val="0"/>
          <w:i w:val="0"/>
          <w:color w:val="0F172A"/>
          <w:sz w:val="18"/>
        </w:rPr>
        <w:t>IC-104709</w:t>
      </w:r>
      <w:r>
        <w:rPr>
          <w:rFonts w:ascii="Calibri" w:hAnsi="Calibri"/>
          <w:b w:val="0"/>
          <w:i w:val="0"/>
          <w:color w:val="1F2937"/>
          <w:sz w:val="21"/>
        </w:rPr>
        <w:t>).</w:t>
      </w:r>
    </w:p>
    <w:p w14:paraId="311C7540">
      <w:pPr>
        <w:pStyle w:val="31"/>
        <w:spacing w:before="0" w:after="50" w:line="276" w:lineRule="auto"/>
        <w:ind w:left="360"/>
      </w:pPr>
      <w:r>
        <w:rPr>
          <w:rFonts w:ascii="Calibri" w:hAnsi="Calibri"/>
          <w:b/>
          <w:i w:val="0"/>
          <w:color w:val="1F2937"/>
          <w:sz w:val="21"/>
        </w:rPr>
        <w:t>Empleado:</w:t>
      </w:r>
      <w:r>
        <w:rPr>
          <w:rFonts w:ascii="Calibri" w:hAnsi="Calibri"/>
          <w:b w:val="0"/>
          <w:i w:val="0"/>
          <w:color w:val="1F2937"/>
          <w:sz w:val="21"/>
        </w:rPr>
        <w:t xml:space="preserve"> Nombre del colaborador acompañado del icono de navegación (flecha hacia la derecha) para consultar su ficha individual.</w:t>
      </w:r>
    </w:p>
    <w:p w14:paraId="2112647D">
      <w:pPr>
        <w:pStyle w:val="31"/>
        <w:spacing w:before="0" w:after="50" w:line="276" w:lineRule="auto"/>
        <w:ind w:left="360"/>
      </w:pPr>
      <w:r>
        <w:rPr>
          <w:rFonts w:ascii="Calibri" w:hAnsi="Calibri"/>
          <w:b/>
          <w:i w:val="0"/>
          <w:color w:val="1F2937"/>
          <w:sz w:val="21"/>
        </w:rPr>
        <w:t>Puntos Esfuerzo:</w:t>
      </w:r>
      <w:r>
        <w:rPr>
          <w:rFonts w:ascii="Calibri" w:hAnsi="Calibri"/>
          <w:b w:val="0"/>
          <w:i w:val="0"/>
          <w:color w:val="1F2937"/>
          <w:sz w:val="21"/>
        </w:rPr>
        <w:t xml:space="preserve"> Puntos asignados a la orden (ejemplo: </w:t>
      </w:r>
      <w:r>
        <w:rPr>
          <w:rFonts w:ascii="Consolas" w:hAnsi="Consolas"/>
          <w:b w:val="0"/>
          <w:i w:val="0"/>
          <w:color w:val="0F172A"/>
          <w:sz w:val="18"/>
        </w:rPr>
        <w:t>4</w:t>
      </w:r>
      <w:r>
        <w:rPr>
          <w:rFonts w:ascii="Calibri" w:hAnsi="Calibri"/>
          <w:b w:val="0"/>
          <w:i w:val="0"/>
          <w:color w:val="1F2937"/>
          <w:sz w:val="21"/>
        </w:rPr>
        <w:t xml:space="preserve"> o </w:t>
      </w:r>
      <w:r>
        <w:rPr>
          <w:rFonts w:ascii="Consolas" w:hAnsi="Consolas"/>
          <w:b w:val="0"/>
          <w:i w:val="0"/>
          <w:color w:val="0F172A"/>
          <w:sz w:val="18"/>
        </w:rPr>
        <w:t>3</w:t>
      </w:r>
      <w:r>
        <w:rPr>
          <w:rFonts w:ascii="Calibri" w:hAnsi="Calibri"/>
          <w:b w:val="0"/>
          <w:i w:val="0"/>
          <w:color w:val="1F2937"/>
          <w:sz w:val="21"/>
        </w:rPr>
        <w:t>).</w:t>
      </w:r>
    </w:p>
    <w:p w14:paraId="5B7EE117">
      <w:pPr>
        <w:pStyle w:val="31"/>
        <w:spacing w:before="0" w:after="50" w:line="276" w:lineRule="auto"/>
        <w:ind w:left="360"/>
      </w:pPr>
      <w:r>
        <w:rPr>
          <w:rFonts w:ascii="Calibri" w:hAnsi="Calibri"/>
          <w:b/>
          <w:i w:val="0"/>
          <w:color w:val="1F2937"/>
          <w:sz w:val="21"/>
        </w:rPr>
        <w:t>Puntos Error:</w:t>
      </w:r>
      <w:r>
        <w:rPr>
          <w:rFonts w:ascii="Calibri" w:hAnsi="Calibri"/>
          <w:b w:val="0"/>
          <w:i w:val="0"/>
          <w:color w:val="1F2937"/>
          <w:sz w:val="21"/>
        </w:rPr>
        <w:t xml:space="preserve"> Penalizaciones registradas (ejemplo: </w:t>
      </w:r>
      <w:r>
        <w:rPr>
          <w:rFonts w:ascii="Consolas" w:hAnsi="Consolas"/>
          <w:b w:val="0"/>
          <w:i w:val="0"/>
          <w:color w:val="0F172A"/>
          <w:sz w:val="18"/>
        </w:rPr>
        <w:t>0</w:t>
      </w:r>
      <w:r>
        <w:rPr>
          <w:rFonts w:ascii="Calibri" w:hAnsi="Calibri"/>
          <w:b w:val="0"/>
          <w:i w:val="0"/>
          <w:color w:val="1F2937"/>
          <w:sz w:val="21"/>
        </w:rPr>
        <w:t>).</w:t>
      </w:r>
    </w:p>
    <w:p w14:paraId="0B9020ED">
      <w:pPr>
        <w:pStyle w:val="3"/>
        <w:keepNext/>
        <w:spacing w:before="240" w:after="80"/>
      </w:pPr>
      <w:bookmarkStart w:id="11" w:name="_Toc28754"/>
      <w:r>
        <w:rPr>
          <w:rFonts w:ascii="Calibri" w:hAnsi="Calibri"/>
          <w:b/>
          <w:color w:val="334155"/>
          <w:sz w:val="25"/>
        </w:rPr>
        <w:t>4.3. Regla de Seguridad: Ventana de Autocorrección de 15 Minutos</w:t>
      </w:r>
      <w:bookmarkEnd w:id="11"/>
    </w:p>
    <w:p w14:paraId="6C1D0207">
      <w:pPr>
        <w:spacing w:before="0" w:after="100" w:line="276" w:lineRule="auto"/>
      </w:pPr>
      <w:r>
        <w:rPr>
          <w:rFonts w:ascii="Calibri" w:hAnsi="Calibri"/>
          <w:b w:val="0"/>
          <w:i w:val="0"/>
          <w:color w:val="1F2937"/>
          <w:sz w:val="21"/>
        </w:rPr>
        <w:t>Para evitar alteraciones retroactivas o modificaciones no autorizadas en bodega, el aplicativo evalúa automáticamente el tiempo transcurrido desde la creación de cada registro:</w:t>
      </w:r>
    </w:p>
    <w:p w14:paraId="5708FAED">
      <w:pPr>
        <w:pStyle w:val="4"/>
        <w:keepNext/>
        <w:spacing w:before="200" w:after="60"/>
      </w:pPr>
      <w:r>
        <w:rPr>
          <w:rFonts w:ascii="Calibri" w:hAnsi="Calibri"/>
          <w:b/>
          <w:color w:val="374151"/>
          <w:sz w:val="23"/>
        </w:rPr>
        <w:t>Caso A: Despacho Reciente (Tiempo menor o igual a 15 Minutos) — Edición Habilitada</w:t>
      </w:r>
    </w:p>
    <w:p w14:paraId="7401A721">
      <w:pPr>
        <w:spacing w:before="0" w:after="100" w:line="276" w:lineRule="auto"/>
      </w:pPr>
      <w:r>
        <w:rPr>
          <w:rFonts w:ascii="Calibri" w:hAnsi="Calibri"/>
          <w:b w:val="0"/>
          <w:i w:val="0"/>
          <w:color w:val="1F2937"/>
          <w:sz w:val="21"/>
        </w:rPr>
        <w:t xml:space="preserve">Si el registro fue creado hace menos de 15 minutos, la ventana de detalle muestra el </w:t>
      </w:r>
      <w:r>
        <w:rPr>
          <w:rFonts w:ascii="Calibri" w:hAnsi="Calibri"/>
          <w:b/>
          <w:i w:val="0"/>
          <w:color w:val="1F2937"/>
          <w:sz w:val="21"/>
        </w:rPr>
        <w:t>botón flotante azul de edición (lápiz)</w:t>
      </w:r>
      <w:r>
        <w:rPr>
          <w:rFonts w:ascii="Calibri" w:hAnsi="Calibri"/>
          <w:b w:val="0"/>
          <w:i w:val="0"/>
          <w:color w:val="1F2937"/>
          <w:sz w:val="21"/>
        </w:rPr>
        <w:t xml:space="preserve"> en la esquina inferior derecha y el menú de tres puntos verticales en la barra superior:</w:t>
      </w:r>
    </w:p>
    <w:tbl>
      <w:tblPr>
        <w:tblStyle w:val="12"/>
        <w:tblW w:w="0" w:type="auto"/>
        <w:jc w:val="center"/>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4680"/>
        <w:gridCol w:w="4680"/>
      </w:tblGrid>
      <w:tr w14:paraId="372E5840">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tblHeader/>
          <w:jc w:val="center"/>
        </w:trPr>
        <w:tc>
          <w:tcPr>
            <w:tcW w:w="4680" w:type="dxa"/>
            <w:shd w:val="clear" w:color="auto" w:fill="334155"/>
            <w:tcMar>
              <w:top w:w="100" w:type="dxa"/>
              <w:left w:w="120" w:type="dxa"/>
              <w:bottom w:w="100" w:type="dxa"/>
              <w:right w:w="120" w:type="dxa"/>
            </w:tcMar>
          </w:tcPr>
          <w:p w14:paraId="3EF6701A">
            <w:pPr>
              <w:spacing w:before="0" w:after="0"/>
            </w:pPr>
            <w:r>
              <w:rPr>
                <w:rFonts w:ascii="Calibri" w:hAnsi="Calibri"/>
                <w:b/>
                <w:color w:val="FFFFFF"/>
                <w:sz w:val="19"/>
              </w:rPr>
              <w:t>Lista con Selección Reciente</w:t>
            </w:r>
          </w:p>
        </w:tc>
        <w:tc>
          <w:tcPr>
            <w:tcW w:w="4680" w:type="dxa"/>
            <w:shd w:val="clear" w:color="auto" w:fill="334155"/>
            <w:tcMar>
              <w:top w:w="100" w:type="dxa"/>
              <w:left w:w="120" w:type="dxa"/>
              <w:bottom w:w="100" w:type="dxa"/>
              <w:right w:w="120" w:type="dxa"/>
            </w:tcMar>
          </w:tcPr>
          <w:p w14:paraId="08E6AE9A">
            <w:pPr>
              <w:spacing w:before="0" w:after="0"/>
            </w:pPr>
            <w:r>
              <w:rPr>
                <w:rFonts w:ascii="Calibri" w:hAnsi="Calibri"/>
                <w:b/>
                <w:color w:val="FFFFFF"/>
                <w:sz w:val="19"/>
              </w:rPr>
              <w:t>Detalle con Botón de Edición Activo</w:t>
            </w:r>
          </w:p>
        </w:tc>
      </w:tr>
      <w:tr w14:paraId="0284E7BB">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4680" w:type="dxa"/>
            <w:shd w:val="clear" w:color="auto" w:fill="FFFFFF"/>
            <w:tcMar>
              <w:top w:w="90" w:type="dxa"/>
              <w:left w:w="120" w:type="dxa"/>
              <w:bottom w:w="90" w:type="dxa"/>
              <w:right w:w="120" w:type="dxa"/>
            </w:tcMar>
          </w:tcPr>
          <w:p w14:paraId="68B3261D">
            <w:pPr>
              <w:spacing w:before="0" w:after="0" w:line="264" w:lineRule="auto"/>
              <w:jc w:val="center"/>
            </w:pPr>
            <w:r>
              <w:drawing>
                <wp:inline distT="0" distB="0" distL="114300" distR="114300">
                  <wp:extent cx="1687830" cy="3291840"/>
                  <wp:effectExtent l="9525" t="9525" r="9525" b="209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1688123" cy="3291840"/>
                          </a:xfrm>
                          <a:prstGeom prst="rect">
                            <a:avLst/>
                          </a:prstGeom>
                          <a:ln>
                            <a:solidFill>
                              <a:schemeClr val="bg1">
                                <a:lumMod val="85000"/>
                              </a:schemeClr>
                            </a:solidFill>
                          </a:ln>
                        </pic:spPr>
                      </pic:pic>
                    </a:graphicData>
                  </a:graphic>
                </wp:inline>
              </w:drawing>
            </w:r>
          </w:p>
        </w:tc>
        <w:tc>
          <w:tcPr>
            <w:tcW w:w="4680" w:type="dxa"/>
            <w:shd w:val="clear" w:color="auto" w:fill="FFFFFF"/>
            <w:tcMar>
              <w:top w:w="90" w:type="dxa"/>
              <w:left w:w="120" w:type="dxa"/>
              <w:bottom w:w="90" w:type="dxa"/>
              <w:right w:w="120" w:type="dxa"/>
            </w:tcMar>
          </w:tcPr>
          <w:p w14:paraId="42916859">
            <w:pPr>
              <w:spacing w:before="0" w:after="0" w:line="264" w:lineRule="auto"/>
              <w:jc w:val="center"/>
            </w:pPr>
            <w:r>
              <w:drawing>
                <wp:inline distT="0" distB="0" distL="114300" distR="114300">
                  <wp:extent cx="1687830" cy="3291840"/>
                  <wp:effectExtent l="9525" t="9525" r="9525" b="209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1688123" cy="3291840"/>
                          </a:xfrm>
                          <a:prstGeom prst="rect">
                            <a:avLst/>
                          </a:prstGeom>
                          <a:ln>
                            <a:solidFill>
                              <a:schemeClr val="bg1">
                                <a:lumMod val="85000"/>
                              </a:schemeClr>
                            </a:solidFill>
                          </a:ln>
                        </pic:spPr>
                      </pic:pic>
                    </a:graphicData>
                  </a:graphic>
                </wp:inline>
              </w:drawing>
            </w:r>
          </w:p>
        </w:tc>
      </w:tr>
    </w:tbl>
    <w:p w14:paraId="69A54C7A">
      <w:pPr>
        <w:spacing w:before="0" w:after="120"/>
      </w:pPr>
    </w:p>
    <w:p w14:paraId="6B4AAD86">
      <w:pPr>
        <w:spacing w:before="0" w:after="100" w:line="276" w:lineRule="auto"/>
      </w:pPr>
      <w:r>
        <w:rPr>
          <w:rFonts w:ascii="Calibri" w:hAnsi="Calibri"/>
          <w:b w:val="0"/>
          <w:i w:val="0"/>
          <w:color w:val="1F2937"/>
          <w:sz w:val="21"/>
        </w:rPr>
        <w:t>Al presionar el botón de edición, el sistema abre la pantalla de modificación del despacho:</w:t>
      </w:r>
    </w:p>
    <w:p w14:paraId="17952808">
      <w:pPr>
        <w:keepNext/>
        <w:keepLines/>
        <w:spacing w:before="120" w:after="60"/>
        <w:jc w:val="center"/>
      </w:pPr>
      <w:r>
        <w:drawing>
          <wp:inline distT="0" distB="0" distL="114300" distR="114300">
            <wp:extent cx="1781810" cy="3474720"/>
            <wp:effectExtent l="9525" t="9525" r="22225" b="209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1781907" cy="3474720"/>
                    </a:xfrm>
                    <a:prstGeom prst="rect">
                      <a:avLst/>
                    </a:prstGeom>
                    <a:ln>
                      <a:solidFill>
                        <a:schemeClr val="bg1">
                          <a:lumMod val="85000"/>
                        </a:schemeClr>
                      </a:solidFill>
                    </a:ln>
                  </pic:spPr>
                </pic:pic>
              </a:graphicData>
            </a:graphic>
          </wp:inline>
        </w:drawing>
      </w:r>
    </w:p>
    <w:p w14:paraId="3ED1BD8B">
      <w:pPr>
        <w:keepLines/>
        <w:spacing w:before="20" w:after="120"/>
        <w:jc w:val="center"/>
      </w:pPr>
      <w:r>
        <w:rPr>
          <w:rFonts w:ascii="Calibri" w:hAnsi="Calibri"/>
          <w:i/>
          <w:color w:val="64748B"/>
          <w:sz w:val="17"/>
        </w:rPr>
        <w:t>Formulario de Edición de Despacho</w:t>
      </w:r>
    </w:p>
    <w:p w14:paraId="1C968F5C">
      <w:pPr>
        <w:pStyle w:val="31"/>
        <w:spacing w:before="0" w:after="50" w:line="276" w:lineRule="auto"/>
        <w:ind w:left="360"/>
      </w:pPr>
      <w:r>
        <w:rPr>
          <w:rFonts w:ascii="Calibri" w:hAnsi="Calibri"/>
          <w:b/>
          <w:i w:val="0"/>
          <w:color w:val="1F2937"/>
          <w:sz w:val="21"/>
        </w:rPr>
        <w:t>Modificación Permitida:</w:t>
      </w:r>
      <w:r>
        <w:rPr>
          <w:rFonts w:ascii="Calibri" w:hAnsi="Calibri"/>
          <w:b w:val="0"/>
          <w:i w:val="0"/>
          <w:color w:val="1F2937"/>
          <w:sz w:val="21"/>
        </w:rPr>
        <w:t xml:space="preserve"> El despachador puede corregir el colaborador asignado, el tipo de factura, el número consecutivo, los puntos de esfuerzo o las penalizaciones por error.</w:t>
      </w:r>
    </w:p>
    <w:p w14:paraId="0FBAF024">
      <w:pPr>
        <w:pStyle w:val="31"/>
        <w:spacing w:before="0" w:after="50" w:line="276" w:lineRule="auto"/>
        <w:ind w:left="360"/>
      </w:pPr>
      <w:r>
        <w:rPr>
          <w:rFonts w:ascii="Calibri" w:hAnsi="Calibri"/>
          <w:b/>
          <w:i w:val="0"/>
          <w:color w:val="1F2937"/>
          <w:sz w:val="21"/>
        </w:rPr>
        <w:t>Confirmación:</w:t>
      </w:r>
      <w:r>
        <w:rPr>
          <w:rFonts w:ascii="Calibri" w:hAnsi="Calibri"/>
          <w:b w:val="0"/>
          <w:i w:val="0"/>
          <w:color w:val="1F2937"/>
          <w:sz w:val="21"/>
        </w:rPr>
        <w:t xml:space="preserve"> Toque </w:t>
      </w:r>
      <w:r>
        <w:rPr>
          <w:rFonts w:ascii="Calibri" w:hAnsi="Calibri"/>
          <w:b/>
          <w:i w:val="0"/>
          <w:color w:val="1F2937"/>
          <w:sz w:val="21"/>
        </w:rPr>
        <w:t>Save</w:t>
      </w:r>
      <w:r>
        <w:rPr>
          <w:rFonts w:ascii="Calibri" w:hAnsi="Calibri"/>
          <w:b w:val="0"/>
          <w:i w:val="0"/>
          <w:color w:val="1F2937"/>
          <w:sz w:val="21"/>
        </w:rPr>
        <w:t xml:space="preserve"> para asentar las correcciones o </w:t>
      </w:r>
      <w:r>
        <w:rPr>
          <w:rFonts w:ascii="Calibri" w:hAnsi="Calibri"/>
          <w:b/>
          <w:i w:val="0"/>
          <w:color w:val="1F2937"/>
          <w:sz w:val="21"/>
        </w:rPr>
        <w:t>Cancel</w:t>
      </w:r>
      <w:r>
        <w:rPr>
          <w:rFonts w:ascii="Calibri" w:hAnsi="Calibri"/>
          <w:b w:val="0"/>
          <w:i w:val="0"/>
          <w:color w:val="1F2937"/>
          <w:sz w:val="21"/>
        </w:rPr>
        <w:t xml:space="preserve"> para descartar los cambios.</w:t>
      </w:r>
    </w:p>
    <w:p w14:paraId="5291D761">
      <w:pPr>
        <w:pStyle w:val="4"/>
        <w:keepNext/>
        <w:spacing w:before="200" w:after="60"/>
      </w:pPr>
      <w:r>
        <w:rPr>
          <w:rFonts w:ascii="Calibri" w:hAnsi="Calibri"/>
          <w:b/>
          <w:color w:val="374151"/>
          <w:sz w:val="23"/>
        </w:rPr>
        <w:t>Caso B: Despacho Consolidado (Tiempo superior a 15 Minutos) — Congelado para Auditoría</w:t>
      </w:r>
    </w:p>
    <w:p w14:paraId="7761F1F8">
      <w:pPr>
        <w:spacing w:before="0" w:after="100" w:line="276" w:lineRule="auto"/>
      </w:pPr>
      <w:r>
        <w:rPr>
          <w:rFonts w:ascii="Calibri" w:hAnsi="Calibri"/>
          <w:b w:val="0"/>
          <w:i w:val="0"/>
          <w:color w:val="1F2937"/>
          <w:sz w:val="21"/>
        </w:rPr>
        <w:t xml:space="preserve">Transcurridos 15 minutos exactos desde la creación de la orden, el botón flotante de edición y el menú de tres puntos </w:t>
      </w:r>
      <w:r>
        <w:rPr>
          <w:rFonts w:ascii="Calibri" w:hAnsi="Calibri"/>
          <w:b/>
          <w:i w:val="0"/>
          <w:color w:val="1F2937"/>
          <w:sz w:val="21"/>
        </w:rPr>
        <w:t>se ocultan automáticamente de la interfaz</w:t>
      </w:r>
      <w:r>
        <w:rPr>
          <w:rFonts w:ascii="Calibri" w:hAnsi="Calibri"/>
          <w:b w:val="0"/>
          <w:i w:val="0"/>
          <w:color w:val="1F2937"/>
          <w:sz w:val="21"/>
        </w:rPr>
        <w:t>:</w:t>
      </w:r>
    </w:p>
    <w:tbl>
      <w:tblPr>
        <w:tblStyle w:val="12"/>
        <w:tblW w:w="0" w:type="auto"/>
        <w:jc w:val="center"/>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4680"/>
        <w:gridCol w:w="4680"/>
      </w:tblGrid>
      <w:tr w14:paraId="373FB80F">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tblHeader/>
          <w:jc w:val="center"/>
        </w:trPr>
        <w:tc>
          <w:tcPr>
            <w:tcW w:w="4680" w:type="dxa"/>
            <w:shd w:val="clear" w:color="auto" w:fill="334155"/>
            <w:tcMar>
              <w:top w:w="100" w:type="dxa"/>
              <w:left w:w="120" w:type="dxa"/>
              <w:bottom w:w="100" w:type="dxa"/>
              <w:right w:w="120" w:type="dxa"/>
            </w:tcMar>
          </w:tcPr>
          <w:p w14:paraId="3E9C9F43">
            <w:pPr>
              <w:spacing w:before="0" w:after="0"/>
            </w:pPr>
            <w:r>
              <w:rPr>
                <w:rFonts w:ascii="Calibri" w:hAnsi="Calibri"/>
                <w:b/>
                <w:color w:val="FFFFFF"/>
                <w:sz w:val="19"/>
              </w:rPr>
              <w:t>Lista con Registro Antiguo</w:t>
            </w:r>
          </w:p>
        </w:tc>
        <w:tc>
          <w:tcPr>
            <w:tcW w:w="4680" w:type="dxa"/>
            <w:shd w:val="clear" w:color="auto" w:fill="334155"/>
            <w:tcMar>
              <w:top w:w="100" w:type="dxa"/>
              <w:left w:w="120" w:type="dxa"/>
              <w:bottom w:w="100" w:type="dxa"/>
              <w:right w:w="120" w:type="dxa"/>
            </w:tcMar>
          </w:tcPr>
          <w:p w14:paraId="145EDC26">
            <w:pPr>
              <w:spacing w:before="0" w:after="0"/>
            </w:pPr>
            <w:r>
              <w:rPr>
                <w:rFonts w:ascii="Calibri" w:hAnsi="Calibri"/>
                <w:b/>
                <w:color w:val="FFFFFF"/>
                <w:sz w:val="19"/>
              </w:rPr>
              <w:t>Detalle Bloqueado en Modo Solo Lectura</w:t>
            </w:r>
          </w:p>
        </w:tc>
      </w:tr>
      <w:tr w14:paraId="17BA13E0">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4680" w:type="dxa"/>
            <w:shd w:val="clear" w:color="auto" w:fill="FFFFFF"/>
            <w:tcMar>
              <w:top w:w="90" w:type="dxa"/>
              <w:left w:w="120" w:type="dxa"/>
              <w:bottom w:w="90" w:type="dxa"/>
              <w:right w:w="120" w:type="dxa"/>
            </w:tcMar>
          </w:tcPr>
          <w:p w14:paraId="161D6446">
            <w:pPr>
              <w:spacing w:before="0" w:after="0" w:line="264" w:lineRule="auto"/>
              <w:jc w:val="center"/>
            </w:pPr>
            <w:r>
              <w:drawing>
                <wp:inline distT="0" distB="0" distL="114300" distR="114300">
                  <wp:extent cx="1687830" cy="3291840"/>
                  <wp:effectExtent l="9525" t="9525" r="9525" b="209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1688123" cy="3291840"/>
                          </a:xfrm>
                          <a:prstGeom prst="rect">
                            <a:avLst/>
                          </a:prstGeom>
                          <a:ln>
                            <a:solidFill>
                              <a:schemeClr val="bg1">
                                <a:lumMod val="85000"/>
                              </a:schemeClr>
                            </a:solidFill>
                          </a:ln>
                        </pic:spPr>
                      </pic:pic>
                    </a:graphicData>
                  </a:graphic>
                </wp:inline>
              </w:drawing>
            </w:r>
          </w:p>
        </w:tc>
        <w:tc>
          <w:tcPr>
            <w:tcW w:w="4680" w:type="dxa"/>
            <w:shd w:val="clear" w:color="auto" w:fill="FFFFFF"/>
            <w:tcMar>
              <w:top w:w="90" w:type="dxa"/>
              <w:left w:w="120" w:type="dxa"/>
              <w:bottom w:w="90" w:type="dxa"/>
              <w:right w:w="120" w:type="dxa"/>
            </w:tcMar>
          </w:tcPr>
          <w:p w14:paraId="119C56AD">
            <w:pPr>
              <w:spacing w:before="0" w:after="0" w:line="264" w:lineRule="auto"/>
              <w:jc w:val="center"/>
            </w:pPr>
            <w:r>
              <w:drawing>
                <wp:inline distT="0" distB="0" distL="114300" distR="114300">
                  <wp:extent cx="1687830" cy="3291840"/>
                  <wp:effectExtent l="9525" t="9525" r="9525" b="209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1688123" cy="3291840"/>
                          </a:xfrm>
                          <a:prstGeom prst="rect">
                            <a:avLst/>
                          </a:prstGeom>
                          <a:ln>
                            <a:solidFill>
                              <a:schemeClr val="bg1">
                                <a:lumMod val="85000"/>
                              </a:schemeClr>
                            </a:solidFill>
                          </a:ln>
                        </pic:spPr>
                      </pic:pic>
                    </a:graphicData>
                  </a:graphic>
                </wp:inline>
              </w:drawing>
            </w:r>
          </w:p>
        </w:tc>
      </w:tr>
    </w:tbl>
    <w:p w14:paraId="41CB032C">
      <w:pPr>
        <w:spacing w:before="0" w:after="120"/>
      </w:pPr>
    </w:p>
    <w:p w14:paraId="5B3ABB34">
      <w:pPr>
        <w:pStyle w:val="31"/>
        <w:spacing w:before="0" w:after="50" w:line="276" w:lineRule="auto"/>
        <w:ind w:left="360"/>
      </w:pPr>
      <w:r>
        <w:rPr>
          <w:rFonts w:ascii="Calibri" w:hAnsi="Calibri"/>
          <w:b/>
          <w:i w:val="0"/>
          <w:color w:val="1F2937"/>
          <w:sz w:val="21"/>
        </w:rPr>
        <w:t>Modo Solo Lectura Permanente:</w:t>
      </w:r>
      <w:r>
        <w:rPr>
          <w:rFonts w:ascii="Calibri" w:hAnsi="Calibri"/>
          <w:b w:val="0"/>
          <w:i w:val="0"/>
          <w:color w:val="1F2937"/>
          <w:sz w:val="21"/>
        </w:rPr>
        <w:t xml:space="preserve"> La transacción queda congelada y ya no puede ser alterada por ningún operario en bodega.</w:t>
      </w:r>
    </w:p>
    <w:p w14:paraId="6926C586">
      <w:pPr>
        <w:pStyle w:val="31"/>
        <w:spacing w:before="0" w:after="50" w:line="276" w:lineRule="auto"/>
        <w:ind w:left="360"/>
      </w:pPr>
      <w:r>
        <w:rPr>
          <w:rFonts w:ascii="Calibri" w:hAnsi="Calibri"/>
          <w:b/>
          <w:i w:val="0"/>
          <w:color w:val="1F2937"/>
          <w:sz w:val="21"/>
        </w:rPr>
        <w:t>Protección de Datos:</w:t>
      </w:r>
      <w:r>
        <w:rPr>
          <w:rFonts w:ascii="Calibri" w:hAnsi="Calibri"/>
          <w:b w:val="0"/>
          <w:i w:val="0"/>
          <w:color w:val="1F2937"/>
          <w:sz w:val="21"/>
        </w:rPr>
        <w:t xml:space="preserve"> La opción de eliminar registros se encuentra inhabilitada de forma definitiva en la aplicación, garantizando que el historial contable se conserve intacto.</w:t>
      </w:r>
    </w:p>
    <w:p w14:paraId="22E79CD1">
      <w:pPr>
        <w:pStyle w:val="31"/>
        <w:spacing w:before="0" w:after="50" w:line="276" w:lineRule="auto"/>
        <w:ind w:left="360"/>
      </w:pPr>
      <w:r>
        <w:rPr>
          <w:rFonts w:ascii="Calibri" w:hAnsi="Calibri"/>
          <w:b/>
          <w:i w:val="0"/>
          <w:color w:val="1F2937"/>
          <w:sz w:val="21"/>
        </w:rPr>
        <w:t>Ajustes Extemporáneos:</w:t>
      </w:r>
      <w:r>
        <w:rPr>
          <w:rFonts w:ascii="Calibri" w:hAnsi="Calibri"/>
          <w:b w:val="0"/>
          <w:i w:val="0"/>
          <w:color w:val="1F2937"/>
          <w:sz w:val="21"/>
        </w:rPr>
        <w:t xml:space="preserve"> Cualquier corrección posterior a los 15 minutos debe ser solicitada formalmente a la Jefatura de Operaciones y a la Administración del Sistema con el documento físico de soporte.</w:t>
      </w:r>
    </w:p>
    <w:p w14:paraId="5EF4CAD8">
      <w:pPr>
        <w:pStyle w:val="3"/>
        <w:keepNext/>
        <w:spacing w:before="240" w:after="80"/>
      </w:pPr>
      <w:bookmarkStart w:id="12" w:name="_Toc23746"/>
      <w:r>
        <w:rPr>
          <w:rFonts w:ascii="Calibri" w:hAnsi="Calibri"/>
          <w:b/>
          <w:color w:val="334155"/>
          <w:sz w:val="25"/>
        </w:rPr>
        <w:t>4.4. Ficha y Trazabilidad de Colaborador</w:t>
      </w:r>
      <w:bookmarkEnd w:id="12"/>
    </w:p>
    <w:p w14:paraId="364B779B">
      <w:pPr>
        <w:spacing w:before="0" w:after="100" w:line="276" w:lineRule="auto"/>
      </w:pPr>
      <w:r>
        <w:rPr>
          <w:rFonts w:ascii="Calibri" w:hAnsi="Calibri"/>
          <w:b w:val="0"/>
          <w:i w:val="0"/>
          <w:color w:val="1F2937"/>
          <w:sz w:val="21"/>
        </w:rPr>
        <w:t>Al tocar la flecha de navegación junto al nombre del empleado dentro del detalle del despacho, la aplicación abre su ficha de trazabilidad operativa:</w:t>
      </w:r>
    </w:p>
    <w:p w14:paraId="5B5A0C26">
      <w:pPr>
        <w:keepNext/>
        <w:keepLines/>
        <w:spacing w:before="120" w:after="60"/>
        <w:jc w:val="center"/>
      </w:pPr>
      <w:r>
        <w:drawing>
          <wp:inline distT="0" distB="0" distL="114300" distR="114300">
            <wp:extent cx="1781810" cy="3474720"/>
            <wp:effectExtent l="9525" t="9525" r="22225" b="209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1781907" cy="3474720"/>
                    </a:xfrm>
                    <a:prstGeom prst="rect">
                      <a:avLst/>
                    </a:prstGeom>
                    <a:ln>
                      <a:solidFill>
                        <a:schemeClr val="bg1">
                          <a:lumMod val="85000"/>
                        </a:schemeClr>
                      </a:solidFill>
                    </a:ln>
                  </pic:spPr>
                </pic:pic>
              </a:graphicData>
            </a:graphic>
          </wp:inline>
        </w:drawing>
      </w:r>
    </w:p>
    <w:p w14:paraId="3E6E9298">
      <w:pPr>
        <w:keepLines/>
        <w:spacing w:before="20" w:after="120"/>
        <w:jc w:val="center"/>
      </w:pPr>
      <w:r>
        <w:rPr>
          <w:rFonts w:ascii="Calibri" w:hAnsi="Calibri"/>
          <w:i/>
          <w:color w:val="64748B"/>
          <w:sz w:val="17"/>
        </w:rPr>
        <w:t>Ficha de Trazabilidad del Colaborador</w:t>
      </w:r>
    </w:p>
    <w:p w14:paraId="27D0A987">
      <w:pPr>
        <w:pStyle w:val="4"/>
        <w:keepNext/>
        <w:spacing w:before="200" w:after="60"/>
      </w:pPr>
      <w:r>
        <w:rPr>
          <w:rFonts w:ascii="Calibri" w:hAnsi="Calibri"/>
          <w:b/>
          <w:color w:val="374151"/>
          <w:sz w:val="23"/>
        </w:rPr>
        <w:t>Atributos de la Ficha del Empleado:</w:t>
      </w:r>
    </w:p>
    <w:p w14:paraId="733766FF">
      <w:pPr>
        <w:pStyle w:val="31"/>
        <w:spacing w:before="0" w:after="50" w:line="276" w:lineRule="auto"/>
        <w:ind w:left="360"/>
      </w:pPr>
      <w:r>
        <w:rPr>
          <w:rFonts w:ascii="Calibri" w:hAnsi="Calibri"/>
          <w:b/>
          <w:i w:val="0"/>
          <w:color w:val="1F2937"/>
          <w:sz w:val="21"/>
        </w:rPr>
        <w:t>Nombre Completo:</w:t>
      </w:r>
      <w:r>
        <w:rPr>
          <w:rFonts w:ascii="Calibri" w:hAnsi="Calibri"/>
          <w:b w:val="0"/>
          <w:i w:val="0"/>
          <w:color w:val="1F2937"/>
          <w:sz w:val="21"/>
        </w:rPr>
        <w:t xml:space="preserve"> Nombre del colaborador (ejemplo: Fabian Ortiz).</w:t>
      </w:r>
    </w:p>
    <w:p w14:paraId="5743515E">
      <w:pPr>
        <w:pStyle w:val="31"/>
        <w:spacing w:before="0" w:after="50" w:line="276" w:lineRule="auto"/>
        <w:ind w:left="360"/>
      </w:pPr>
      <w:r>
        <w:rPr>
          <w:rFonts w:ascii="Calibri" w:hAnsi="Calibri"/>
          <w:b/>
          <w:i w:val="0"/>
          <w:color w:val="1F2937"/>
          <w:sz w:val="21"/>
        </w:rPr>
        <w:t>ID:</w:t>
      </w:r>
      <w:r>
        <w:rPr>
          <w:rFonts w:ascii="Calibri" w:hAnsi="Calibri"/>
          <w:b w:val="0"/>
          <w:i w:val="0"/>
          <w:color w:val="1F2937"/>
          <w:sz w:val="21"/>
        </w:rPr>
        <w:t xml:space="preserve"> Identificador numérico de nómina (ejemplo: </w:t>
      </w:r>
      <w:r>
        <w:rPr>
          <w:rFonts w:ascii="Consolas" w:hAnsi="Consolas"/>
          <w:b w:val="0"/>
          <w:i w:val="0"/>
          <w:color w:val="0F172A"/>
          <w:sz w:val="18"/>
        </w:rPr>
        <w:t>1003</w:t>
      </w:r>
      <w:r>
        <w:rPr>
          <w:rFonts w:ascii="Calibri" w:hAnsi="Calibri"/>
          <w:b w:val="0"/>
          <w:i w:val="0"/>
          <w:color w:val="1F2937"/>
          <w:sz w:val="21"/>
        </w:rPr>
        <w:t>).</w:t>
      </w:r>
    </w:p>
    <w:p w14:paraId="316FADE4">
      <w:pPr>
        <w:pStyle w:val="31"/>
        <w:spacing w:before="0" w:after="50" w:line="276" w:lineRule="auto"/>
        <w:ind w:left="360"/>
      </w:pPr>
      <w:r>
        <w:rPr>
          <w:rFonts w:ascii="Calibri" w:hAnsi="Calibri"/>
          <w:b/>
          <w:i w:val="0"/>
          <w:color w:val="1F2937"/>
          <w:sz w:val="21"/>
        </w:rPr>
        <w:t>Activo?:</w:t>
      </w:r>
      <w:r>
        <w:rPr>
          <w:rFonts w:ascii="Calibri" w:hAnsi="Calibri"/>
          <w:b w:val="0"/>
          <w:i w:val="0"/>
          <w:color w:val="1F2937"/>
          <w:sz w:val="21"/>
        </w:rPr>
        <w:t xml:space="preserve"> Estado laboral en el maestro de personal (</w:t>
      </w:r>
      <w:r>
        <w:rPr>
          <w:rFonts w:ascii="Consolas" w:hAnsi="Consolas"/>
          <w:b w:val="0"/>
          <w:i w:val="0"/>
          <w:color w:val="0F172A"/>
          <w:sz w:val="18"/>
        </w:rPr>
        <w:t>SI</w:t>
      </w:r>
      <w:r>
        <w:rPr>
          <w:rFonts w:ascii="Calibri" w:hAnsi="Calibri"/>
          <w:b w:val="0"/>
          <w:i w:val="0"/>
          <w:color w:val="1F2937"/>
          <w:sz w:val="21"/>
        </w:rPr>
        <w:t>).</w:t>
      </w:r>
    </w:p>
    <w:p w14:paraId="1E7359E7">
      <w:pPr>
        <w:pStyle w:val="31"/>
        <w:spacing w:before="0" w:after="50" w:line="276" w:lineRule="auto"/>
        <w:ind w:left="360"/>
      </w:pPr>
      <w:r>
        <w:rPr>
          <w:rFonts w:ascii="Calibri" w:hAnsi="Calibri"/>
          <w:b/>
          <w:i w:val="0"/>
          <w:color w:val="1F2937"/>
          <w:sz w:val="21"/>
        </w:rPr>
        <w:t>Historial de Despachos:</w:t>
      </w:r>
      <w:r>
        <w:rPr>
          <w:rFonts w:ascii="Calibri" w:hAnsi="Calibri"/>
          <w:b w:val="0"/>
          <w:i w:val="0"/>
          <w:color w:val="1F2937"/>
          <w:sz w:val="21"/>
        </w:rPr>
        <w:t xml:space="preserve"> Muestra un contador gris con la cantidad acumulada de comprobantes alistados (ejemplo: </w:t>
      </w:r>
      <w:r>
        <w:rPr>
          <w:rFonts w:ascii="Consolas" w:hAnsi="Consolas"/>
          <w:b w:val="0"/>
          <w:i w:val="0"/>
          <w:color w:val="0F172A"/>
          <w:sz w:val="18"/>
        </w:rPr>
        <w:t>48</w:t>
      </w:r>
      <w:r>
        <w:rPr>
          <w:rFonts w:ascii="Calibri" w:hAnsi="Calibri"/>
          <w:b w:val="0"/>
          <w:i w:val="0"/>
          <w:color w:val="1F2937"/>
          <w:sz w:val="21"/>
        </w:rPr>
        <w:t>) y una subtabla en línea con el detalle de facturas entregadas (</w:t>
      </w:r>
      <w:r>
        <w:rPr>
          <w:rFonts w:ascii="Calibri" w:hAnsi="Calibri"/>
          <w:b/>
          <w:i w:val="0"/>
          <w:color w:val="1F2937"/>
          <w:sz w:val="21"/>
        </w:rPr>
        <w:t>Factura</w:t>
      </w:r>
      <w:r>
        <w:rPr>
          <w:rFonts w:ascii="Calibri" w:hAnsi="Calibri"/>
          <w:b w:val="0"/>
          <w:i w:val="0"/>
          <w:color w:val="1F2937"/>
          <w:sz w:val="21"/>
        </w:rPr>
        <w:t xml:space="preserve">, </w:t>
      </w:r>
      <w:r>
        <w:rPr>
          <w:rFonts w:ascii="Calibri" w:hAnsi="Calibri"/>
          <w:b/>
          <w:i w:val="0"/>
          <w:color w:val="1F2937"/>
          <w:sz w:val="21"/>
        </w:rPr>
        <w:t>Empleado</w:t>
      </w:r>
      <w:r>
        <w:rPr>
          <w:rFonts w:ascii="Calibri" w:hAnsi="Calibri"/>
          <w:b w:val="0"/>
          <w:i w:val="0"/>
          <w:color w:val="1F2937"/>
          <w:sz w:val="21"/>
        </w:rPr>
        <w:t xml:space="preserve">, </w:t>
      </w:r>
      <w:r>
        <w:rPr>
          <w:rFonts w:ascii="Calibri" w:hAnsi="Calibri"/>
          <w:b/>
          <w:i w:val="0"/>
          <w:color w:val="1F2937"/>
          <w:sz w:val="21"/>
        </w:rPr>
        <w:t>Tipo Factura</w:t>
      </w:r>
      <w:r>
        <w:rPr>
          <w:rFonts w:ascii="Calibri" w:hAnsi="Calibri"/>
          <w:b w:val="0"/>
          <w:i w:val="0"/>
          <w:color w:val="1F2937"/>
          <w:sz w:val="21"/>
        </w:rPr>
        <w:t>), permitiendo auditorías individuales al instante.</w:t>
      </w:r>
      <w:bookmarkStart w:id="13" w:name="_Toc9684"/>
    </w:p>
    <w:p w14:paraId="1673301A">
      <w:pPr>
        <w:rPr>
          <w:rFonts w:ascii="Calibri" w:hAnsi="Calibri"/>
          <w:b/>
          <w:color w:val="1E293B"/>
          <w:sz w:val="30"/>
        </w:rPr>
      </w:pPr>
      <w:r>
        <w:rPr>
          <w:rFonts w:ascii="Calibri" w:hAnsi="Calibri"/>
          <w:b/>
          <w:color w:val="1E293B"/>
          <w:sz w:val="30"/>
        </w:rPr>
        <w:br w:type="page"/>
      </w:r>
    </w:p>
    <w:p w14:paraId="7A7553D2">
      <w:pPr>
        <w:pStyle w:val="31"/>
        <w:numPr>
          <w:numId w:val="0"/>
        </w:numPr>
        <w:spacing w:before="0" w:after="50" w:line="276" w:lineRule="auto"/>
        <w:ind w:leftChars="0"/>
      </w:pPr>
      <w:r>
        <w:rPr>
          <w:rFonts w:ascii="Calibri" w:hAnsi="Calibri"/>
          <w:b/>
          <w:color w:val="1E293B"/>
          <w:sz w:val="30"/>
        </w:rPr>
        <w:t>5. Módulo 3: Liquidación (Consulta Táctil Jerárquica y Ficha Financiera)</w:t>
      </w:r>
      <w:bookmarkEnd w:id="13"/>
    </w:p>
    <w:p w14:paraId="3538BA46">
      <w:pPr>
        <w:spacing w:before="0" w:after="100" w:line="276" w:lineRule="auto"/>
      </w:pPr>
      <w:r>
        <w:rPr>
          <w:rFonts w:ascii="Calibri" w:hAnsi="Calibri"/>
          <w:b w:val="0"/>
          <w:i w:val="0"/>
          <w:color w:val="1F2937"/>
          <w:sz w:val="21"/>
        </w:rPr>
        <w:t xml:space="preserve">El módulo </w:t>
      </w:r>
      <w:r>
        <w:rPr>
          <w:rFonts w:ascii="Calibri" w:hAnsi="Calibri"/>
          <w:b/>
          <w:i w:val="0"/>
          <w:color w:val="1F2937"/>
          <w:sz w:val="21"/>
        </w:rPr>
        <w:t>LIQUIDACION</w:t>
      </w:r>
      <w:r>
        <w:rPr>
          <w:rFonts w:ascii="Calibri" w:hAnsi="Calibri"/>
          <w:b w:val="0"/>
          <w:i w:val="0"/>
          <w:color w:val="1F2937"/>
          <w:sz w:val="21"/>
        </w:rPr>
        <w:t xml:space="preserve"> es la herramienta de consulta financiera para los colaboradores, jefes de patio y administración, donde se verifica el cumplimiento de metas y los bonos generados en pesos colombianos.</w:t>
      </w:r>
    </w:p>
    <w:p w14:paraId="366AF522">
      <w:pPr>
        <w:pStyle w:val="3"/>
        <w:keepNext/>
        <w:spacing w:before="240" w:after="80"/>
      </w:pPr>
      <w:bookmarkStart w:id="14" w:name="_Toc28839"/>
      <w:r>
        <w:rPr>
          <w:rFonts w:ascii="Calibri" w:hAnsi="Calibri"/>
          <w:b/>
          <w:color w:val="334155"/>
          <w:sz w:val="25"/>
        </w:rPr>
        <w:t>5.1. Acceso a la Pestaña Liquidación</w:t>
      </w:r>
      <w:bookmarkEnd w:id="14"/>
    </w:p>
    <w:p w14:paraId="31E6F3EA">
      <w:pPr>
        <w:spacing w:before="0" w:after="100" w:line="276" w:lineRule="auto"/>
      </w:pPr>
      <w:r>
        <w:rPr>
          <w:rFonts w:ascii="Calibri" w:hAnsi="Calibri"/>
          <w:b w:val="0"/>
          <w:i w:val="0"/>
          <w:color w:val="1F2937"/>
          <w:sz w:val="21"/>
        </w:rPr>
        <w:t xml:space="preserve">En la barra inferior de navegación, toque la opción </w:t>
      </w:r>
      <w:r>
        <w:rPr>
          <w:rFonts w:ascii="Calibri" w:hAnsi="Calibri"/>
          <w:b/>
          <w:i w:val="0"/>
          <w:color w:val="1F2937"/>
          <w:sz w:val="21"/>
        </w:rPr>
        <w:t>LIQUIDACION</w:t>
      </w:r>
      <w:r>
        <w:rPr>
          <w:rFonts w:ascii="Calibri" w:hAnsi="Calibri"/>
          <w:b w:val="0"/>
          <w:i w:val="0"/>
          <w:color w:val="1F2937"/>
          <w:sz w:val="21"/>
        </w:rPr>
        <w:t>:</w:t>
      </w:r>
    </w:p>
    <w:p w14:paraId="0F2B8FA1">
      <w:pPr>
        <w:keepNext/>
        <w:keepLines/>
        <w:spacing w:before="120" w:after="60"/>
        <w:jc w:val="center"/>
      </w:pPr>
      <w:r>
        <w:drawing>
          <wp:inline distT="0" distB="0" distL="114300" distR="114300">
            <wp:extent cx="4826000" cy="687705"/>
            <wp:effectExtent l="9525" t="9525" r="1079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4826000" cy="688151"/>
                    </a:xfrm>
                    <a:prstGeom prst="rect">
                      <a:avLst/>
                    </a:prstGeom>
                    <a:ln>
                      <a:solidFill>
                        <a:schemeClr val="bg1">
                          <a:lumMod val="85000"/>
                        </a:schemeClr>
                      </a:solidFill>
                    </a:ln>
                  </pic:spPr>
                </pic:pic>
              </a:graphicData>
            </a:graphic>
          </wp:inline>
        </w:drawing>
      </w:r>
    </w:p>
    <w:p w14:paraId="1B3BFA3B">
      <w:pPr>
        <w:keepLines/>
        <w:spacing w:before="20" w:after="120"/>
        <w:jc w:val="center"/>
      </w:pPr>
      <w:r>
        <w:rPr>
          <w:rFonts w:ascii="Calibri" w:hAnsi="Calibri"/>
          <w:i/>
          <w:color w:val="64748B"/>
          <w:sz w:val="17"/>
        </w:rPr>
        <w:t>Pestaña Liquidación</w:t>
      </w:r>
    </w:p>
    <w:p w14:paraId="21E145F9">
      <w:pPr>
        <w:pStyle w:val="3"/>
        <w:keepNext/>
        <w:spacing w:before="240" w:after="80"/>
      </w:pPr>
      <w:bookmarkStart w:id="15" w:name="_Toc27269"/>
      <w:r>
        <w:rPr>
          <w:rFonts w:ascii="Calibri" w:hAnsi="Calibri"/>
          <w:b/>
          <w:color w:val="334155"/>
          <w:sz w:val="25"/>
        </w:rPr>
        <w:t>5.2. Navegación Jerárquica Táctil</w:t>
      </w:r>
      <w:bookmarkEnd w:id="15"/>
    </w:p>
    <w:p w14:paraId="252A9476">
      <w:pPr>
        <w:spacing w:before="0" w:after="100" w:line="276" w:lineRule="auto"/>
      </w:pPr>
      <w:r>
        <w:rPr>
          <w:rFonts w:ascii="Calibri" w:hAnsi="Calibri"/>
          <w:b w:val="0"/>
          <w:i w:val="0"/>
          <w:color w:val="1F2937"/>
          <w:sz w:val="21"/>
        </w:rPr>
        <w:t>Para consultar periodos anteriores sin recargar la pantalla, el sistema guía al usuario a través de dos niveles táctiles:</w:t>
      </w:r>
    </w:p>
    <w:tbl>
      <w:tblPr>
        <w:tblStyle w:val="12"/>
        <w:tblW w:w="0" w:type="auto"/>
        <w:jc w:val="center"/>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4680"/>
        <w:gridCol w:w="4680"/>
      </w:tblGrid>
      <w:tr w14:paraId="01042420">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tblHeader/>
          <w:jc w:val="center"/>
        </w:trPr>
        <w:tc>
          <w:tcPr>
            <w:tcW w:w="4680" w:type="dxa"/>
            <w:shd w:val="clear" w:color="auto" w:fill="334155"/>
            <w:tcMar>
              <w:top w:w="100" w:type="dxa"/>
              <w:left w:w="120" w:type="dxa"/>
              <w:bottom w:w="100" w:type="dxa"/>
              <w:right w:w="120" w:type="dxa"/>
            </w:tcMar>
          </w:tcPr>
          <w:p w14:paraId="4513D696">
            <w:pPr>
              <w:spacing w:before="0" w:after="0"/>
            </w:pPr>
            <w:r>
              <w:rPr>
                <w:rFonts w:ascii="Calibri" w:hAnsi="Calibri"/>
                <w:b/>
                <w:color w:val="FFFFFF"/>
                <w:sz w:val="19"/>
              </w:rPr>
              <w:t>Nivel 1: Selección del Año Fiscal</w:t>
            </w:r>
          </w:p>
        </w:tc>
        <w:tc>
          <w:tcPr>
            <w:tcW w:w="4680" w:type="dxa"/>
            <w:shd w:val="clear" w:color="auto" w:fill="334155"/>
            <w:tcMar>
              <w:top w:w="100" w:type="dxa"/>
              <w:left w:w="120" w:type="dxa"/>
              <w:bottom w:w="100" w:type="dxa"/>
              <w:right w:w="120" w:type="dxa"/>
            </w:tcMar>
          </w:tcPr>
          <w:p w14:paraId="7B0DFD69">
            <w:pPr>
              <w:spacing w:before="0" w:after="0"/>
            </w:pPr>
            <w:r>
              <w:rPr>
                <w:rFonts w:ascii="Calibri" w:hAnsi="Calibri"/>
                <w:b/>
                <w:color w:val="FFFFFF"/>
                <w:sz w:val="19"/>
              </w:rPr>
              <w:t>Nivel 2: Selección del Mes Operativo</w:t>
            </w:r>
          </w:p>
        </w:tc>
      </w:tr>
      <w:tr w14:paraId="07567CE2">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4680" w:type="dxa"/>
            <w:shd w:val="clear" w:color="auto" w:fill="FFFFFF"/>
            <w:tcMar>
              <w:top w:w="90" w:type="dxa"/>
              <w:left w:w="120" w:type="dxa"/>
              <w:bottom w:w="90" w:type="dxa"/>
              <w:right w:w="120" w:type="dxa"/>
            </w:tcMar>
          </w:tcPr>
          <w:p w14:paraId="13E8E8E8">
            <w:pPr>
              <w:spacing w:before="0" w:after="0" w:line="264" w:lineRule="auto"/>
              <w:jc w:val="center"/>
            </w:pPr>
            <w:r>
              <w:drawing>
                <wp:inline distT="0" distB="0" distL="114300" distR="114300">
                  <wp:extent cx="1687830" cy="3291840"/>
                  <wp:effectExtent l="9525" t="9525" r="9525" b="209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1688123" cy="3291840"/>
                          </a:xfrm>
                          <a:prstGeom prst="rect">
                            <a:avLst/>
                          </a:prstGeom>
                          <a:ln>
                            <a:solidFill>
                              <a:schemeClr val="bg1">
                                <a:lumMod val="85000"/>
                              </a:schemeClr>
                            </a:solidFill>
                          </a:ln>
                        </pic:spPr>
                      </pic:pic>
                    </a:graphicData>
                  </a:graphic>
                </wp:inline>
              </w:drawing>
            </w:r>
          </w:p>
        </w:tc>
        <w:tc>
          <w:tcPr>
            <w:tcW w:w="4680" w:type="dxa"/>
            <w:shd w:val="clear" w:color="auto" w:fill="FFFFFF"/>
            <w:tcMar>
              <w:top w:w="90" w:type="dxa"/>
              <w:left w:w="120" w:type="dxa"/>
              <w:bottom w:w="90" w:type="dxa"/>
              <w:right w:w="120" w:type="dxa"/>
            </w:tcMar>
          </w:tcPr>
          <w:p w14:paraId="3127AB07">
            <w:pPr>
              <w:spacing w:before="0" w:after="0" w:line="264" w:lineRule="auto"/>
              <w:jc w:val="center"/>
            </w:pPr>
            <w:r>
              <w:drawing>
                <wp:inline distT="0" distB="0" distL="114300" distR="114300">
                  <wp:extent cx="1687830" cy="3291840"/>
                  <wp:effectExtent l="9525" t="9525" r="9525" b="209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1688123" cy="3291840"/>
                          </a:xfrm>
                          <a:prstGeom prst="rect">
                            <a:avLst/>
                          </a:prstGeom>
                          <a:ln>
                            <a:solidFill>
                              <a:schemeClr val="bg1">
                                <a:lumMod val="85000"/>
                              </a:schemeClr>
                            </a:solidFill>
                          </a:ln>
                        </pic:spPr>
                      </pic:pic>
                    </a:graphicData>
                  </a:graphic>
                </wp:inline>
              </w:drawing>
            </w:r>
          </w:p>
        </w:tc>
      </w:tr>
    </w:tbl>
    <w:p w14:paraId="3FC0F6A6">
      <w:pPr>
        <w:spacing w:before="0" w:after="120"/>
      </w:pPr>
    </w:p>
    <w:p w14:paraId="1D2F090A">
      <w:pPr>
        <w:pStyle w:val="31"/>
        <w:spacing w:before="0" w:after="50" w:line="276" w:lineRule="auto"/>
        <w:ind w:left="360"/>
      </w:pPr>
      <w:r>
        <w:rPr>
          <w:rFonts w:ascii="Calibri" w:hAnsi="Calibri"/>
          <w:b/>
          <w:i w:val="0"/>
          <w:color w:val="1F2937"/>
          <w:sz w:val="21"/>
        </w:rPr>
        <w:t>Paso 1 (Año):</w:t>
      </w:r>
      <w:r>
        <w:rPr>
          <w:rFonts w:ascii="Calibri" w:hAnsi="Calibri"/>
          <w:b w:val="0"/>
          <w:i w:val="0"/>
          <w:color w:val="1F2937"/>
          <w:sz w:val="21"/>
        </w:rPr>
        <w:t xml:space="preserve"> Toque el año fiscal que desea revisar (ejemplo: </w:t>
      </w:r>
      <w:r>
        <w:rPr>
          <w:rFonts w:ascii="Consolas" w:hAnsi="Consolas"/>
          <w:b w:val="0"/>
          <w:i w:val="0"/>
          <w:color w:val="0F172A"/>
          <w:sz w:val="18"/>
        </w:rPr>
        <w:t>2026 &gt;</w:t>
      </w:r>
      <w:r>
        <w:rPr>
          <w:rFonts w:ascii="Calibri" w:hAnsi="Calibri"/>
          <w:b w:val="0"/>
          <w:i w:val="0"/>
          <w:color w:val="1F2937"/>
          <w:sz w:val="21"/>
        </w:rPr>
        <w:t>).</w:t>
      </w:r>
    </w:p>
    <w:p w14:paraId="42B3CCE8">
      <w:pPr>
        <w:pStyle w:val="31"/>
        <w:spacing w:before="0" w:after="50" w:line="276" w:lineRule="auto"/>
        <w:ind w:left="360"/>
      </w:pPr>
      <w:r>
        <w:rPr>
          <w:rFonts w:ascii="Calibri" w:hAnsi="Calibri"/>
          <w:b/>
          <w:i w:val="0"/>
          <w:color w:val="1F2937"/>
          <w:sz w:val="21"/>
        </w:rPr>
        <w:t>Paso 2 (Mes):</w:t>
      </w:r>
      <w:r>
        <w:rPr>
          <w:rFonts w:ascii="Calibri" w:hAnsi="Calibri"/>
          <w:b w:val="0"/>
          <w:i w:val="0"/>
          <w:color w:val="1F2937"/>
          <w:sz w:val="21"/>
        </w:rPr>
        <w:t xml:space="preserve"> Toque el mes deseado dentro de la lista (ejemplo: </w:t>
      </w:r>
      <w:r>
        <w:rPr>
          <w:rFonts w:ascii="Consolas" w:hAnsi="Consolas"/>
          <w:b w:val="0"/>
          <w:i w:val="0"/>
          <w:color w:val="0F172A"/>
          <w:sz w:val="18"/>
        </w:rPr>
        <w:t>Octubre &gt;</w:t>
      </w:r>
      <w:r>
        <w:rPr>
          <w:rFonts w:ascii="Calibri" w:hAnsi="Calibri"/>
          <w:b w:val="0"/>
          <w:i w:val="0"/>
          <w:color w:val="1F2937"/>
          <w:sz w:val="21"/>
        </w:rPr>
        <w:t>).</w:t>
      </w:r>
    </w:p>
    <w:p w14:paraId="052523F5">
      <w:pPr>
        <w:pStyle w:val="3"/>
        <w:keepNext/>
        <w:spacing w:before="240" w:after="80"/>
      </w:pPr>
      <w:bookmarkStart w:id="16" w:name="_Toc18582"/>
      <w:r>
        <w:rPr>
          <w:rFonts w:ascii="Calibri" w:hAnsi="Calibri"/>
          <w:b/>
          <w:color w:val="334155"/>
          <w:sz w:val="25"/>
        </w:rPr>
        <w:t>5.3. Tabla Quincenal Consolidada de Desempeño</w:t>
      </w:r>
      <w:bookmarkEnd w:id="16"/>
    </w:p>
    <w:p w14:paraId="1E5E7B77">
      <w:pPr>
        <w:spacing w:before="0" w:after="100" w:line="276" w:lineRule="auto"/>
      </w:pPr>
      <w:r>
        <w:rPr>
          <w:rFonts w:ascii="Calibri" w:hAnsi="Calibri"/>
          <w:b w:val="0"/>
          <w:i w:val="0"/>
          <w:color w:val="1F2937"/>
          <w:sz w:val="21"/>
        </w:rPr>
        <w:t xml:space="preserve">Al ingresar al mes, la aplicación presenta la matriz de liquidación agrupada automáticamente en dos bloques: </w:t>
      </w:r>
      <w:r>
        <w:rPr>
          <w:rFonts w:ascii="Calibri" w:hAnsi="Calibri"/>
          <w:b/>
          <w:i w:val="0"/>
          <w:color w:val="1F2937"/>
          <w:sz w:val="21"/>
        </w:rPr>
        <w:t>1ra Quincena · [Mes Año]</w:t>
      </w:r>
      <w:r>
        <w:rPr>
          <w:rFonts w:ascii="Calibri" w:hAnsi="Calibri"/>
          <w:b w:val="0"/>
          <w:i w:val="0"/>
          <w:color w:val="1F2937"/>
          <w:sz w:val="21"/>
        </w:rPr>
        <w:t xml:space="preserve"> (días 1 al 15) y </w:t>
      </w:r>
      <w:r>
        <w:rPr>
          <w:rFonts w:ascii="Calibri" w:hAnsi="Calibri"/>
          <w:b/>
          <w:i w:val="0"/>
          <w:color w:val="1F2937"/>
          <w:sz w:val="21"/>
        </w:rPr>
        <w:t>2da Quincena · [Mes Año]</w:t>
      </w:r>
      <w:r>
        <w:rPr>
          <w:rFonts w:ascii="Calibri" w:hAnsi="Calibri"/>
          <w:b w:val="0"/>
          <w:i w:val="0"/>
          <w:color w:val="1F2937"/>
          <w:sz w:val="21"/>
        </w:rPr>
        <w:t xml:space="preserve"> (días 16 al fin de mes):</w:t>
      </w:r>
    </w:p>
    <w:tbl>
      <w:tblPr>
        <w:tblStyle w:val="12"/>
        <w:tblW w:w="0" w:type="auto"/>
        <w:jc w:val="center"/>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4680"/>
        <w:gridCol w:w="4680"/>
      </w:tblGrid>
      <w:tr w14:paraId="3BAB6787">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tblHeader/>
          <w:jc w:val="center"/>
        </w:trPr>
        <w:tc>
          <w:tcPr>
            <w:tcW w:w="4680" w:type="dxa"/>
            <w:shd w:val="clear" w:color="auto" w:fill="334155"/>
            <w:tcMar>
              <w:top w:w="100" w:type="dxa"/>
              <w:left w:w="120" w:type="dxa"/>
              <w:bottom w:w="100" w:type="dxa"/>
              <w:right w:w="120" w:type="dxa"/>
            </w:tcMar>
          </w:tcPr>
          <w:p w14:paraId="4E5AF078">
            <w:pPr>
              <w:spacing w:before="0" w:after="0"/>
            </w:pPr>
            <w:r>
              <w:rPr>
                <w:rFonts w:ascii="Calibri" w:hAnsi="Calibri"/>
                <w:b/>
                <w:color w:val="FFFFFF"/>
                <w:sz w:val="19"/>
              </w:rPr>
              <w:t>Vista 1: Nombres y Puntos de Esfuerzo</w:t>
            </w:r>
          </w:p>
        </w:tc>
        <w:tc>
          <w:tcPr>
            <w:tcW w:w="4680" w:type="dxa"/>
            <w:shd w:val="clear" w:color="auto" w:fill="334155"/>
            <w:tcMar>
              <w:top w:w="100" w:type="dxa"/>
              <w:left w:w="120" w:type="dxa"/>
              <w:bottom w:w="100" w:type="dxa"/>
              <w:right w:w="120" w:type="dxa"/>
            </w:tcMar>
          </w:tcPr>
          <w:p w14:paraId="0C60522D">
            <w:pPr>
              <w:spacing w:before="0" w:after="0"/>
            </w:pPr>
            <w:r>
              <w:rPr>
                <w:rFonts w:ascii="Calibri" w:hAnsi="Calibri"/>
                <w:b/>
                <w:color w:val="FFFFFF"/>
                <w:sz w:val="19"/>
              </w:rPr>
              <w:t>Vista 2: Penalizaciones y Total BONO</w:t>
            </w:r>
          </w:p>
        </w:tc>
      </w:tr>
      <w:tr w14:paraId="354217F6">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4680" w:type="dxa"/>
            <w:shd w:val="clear" w:color="auto" w:fill="FFFFFF"/>
            <w:tcMar>
              <w:top w:w="90" w:type="dxa"/>
              <w:left w:w="120" w:type="dxa"/>
              <w:bottom w:w="90" w:type="dxa"/>
              <w:right w:w="120" w:type="dxa"/>
            </w:tcMar>
          </w:tcPr>
          <w:p w14:paraId="3066AB79">
            <w:pPr>
              <w:spacing w:before="0" w:after="0" w:line="264" w:lineRule="auto"/>
              <w:jc w:val="center"/>
            </w:pPr>
            <w:r>
              <w:drawing>
                <wp:inline distT="0" distB="0" distL="114300" distR="114300">
                  <wp:extent cx="1687830" cy="3291840"/>
                  <wp:effectExtent l="9525" t="9525" r="9525" b="209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1688123" cy="3291840"/>
                          </a:xfrm>
                          <a:prstGeom prst="rect">
                            <a:avLst/>
                          </a:prstGeom>
                          <a:ln>
                            <a:solidFill>
                              <a:schemeClr val="bg1">
                                <a:lumMod val="85000"/>
                              </a:schemeClr>
                            </a:solidFill>
                          </a:ln>
                        </pic:spPr>
                      </pic:pic>
                    </a:graphicData>
                  </a:graphic>
                </wp:inline>
              </w:drawing>
            </w:r>
          </w:p>
        </w:tc>
        <w:tc>
          <w:tcPr>
            <w:tcW w:w="4680" w:type="dxa"/>
            <w:shd w:val="clear" w:color="auto" w:fill="FFFFFF"/>
            <w:tcMar>
              <w:top w:w="90" w:type="dxa"/>
              <w:left w:w="120" w:type="dxa"/>
              <w:bottom w:w="90" w:type="dxa"/>
              <w:right w:w="120" w:type="dxa"/>
            </w:tcMar>
          </w:tcPr>
          <w:p w14:paraId="7FF54A8E">
            <w:pPr>
              <w:spacing w:before="0" w:after="0" w:line="264" w:lineRule="auto"/>
              <w:jc w:val="center"/>
            </w:pPr>
            <w:r>
              <w:drawing>
                <wp:inline distT="0" distB="0" distL="114300" distR="114300">
                  <wp:extent cx="1687830" cy="3291840"/>
                  <wp:effectExtent l="9525" t="9525" r="9525" b="209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1688123" cy="3291840"/>
                          </a:xfrm>
                          <a:prstGeom prst="rect">
                            <a:avLst/>
                          </a:prstGeom>
                          <a:ln>
                            <a:solidFill>
                              <a:schemeClr val="bg1">
                                <a:lumMod val="85000"/>
                              </a:schemeClr>
                            </a:solidFill>
                          </a:ln>
                        </pic:spPr>
                      </pic:pic>
                    </a:graphicData>
                  </a:graphic>
                </wp:inline>
              </w:drawing>
            </w:r>
          </w:p>
        </w:tc>
      </w:tr>
    </w:tbl>
    <w:p w14:paraId="0324187E">
      <w:pPr>
        <w:spacing w:before="0" w:after="120"/>
      </w:pPr>
    </w:p>
    <w:p w14:paraId="5B0162DE">
      <w:pPr>
        <w:pStyle w:val="4"/>
        <w:keepNext/>
        <w:spacing w:before="200" w:after="60"/>
      </w:pPr>
      <w:r>
        <w:rPr>
          <w:rFonts w:ascii="Calibri" w:hAnsi="Calibri"/>
          <w:b/>
          <w:color w:val="374151"/>
          <w:sz w:val="23"/>
        </w:rPr>
        <w:t>Características Técnicas de la Tabla:</w:t>
      </w:r>
    </w:p>
    <w:p w14:paraId="2AD2BDF2">
      <w:pPr>
        <w:pStyle w:val="31"/>
        <w:spacing w:before="0" w:after="50" w:line="276" w:lineRule="auto"/>
        <w:ind w:left="360"/>
      </w:pPr>
      <w:r>
        <w:rPr>
          <w:rFonts w:ascii="Calibri" w:hAnsi="Calibri"/>
          <w:b/>
          <w:i w:val="0"/>
          <w:color w:val="1F2937"/>
          <w:sz w:val="21"/>
        </w:rPr>
        <w:t>Columnas de Desempeño:</w:t>
      </w:r>
    </w:p>
    <w:p w14:paraId="6240EF37">
      <w:pPr>
        <w:pStyle w:val="31"/>
        <w:spacing w:before="0" w:after="50" w:line="276" w:lineRule="auto"/>
        <w:ind w:left="720"/>
      </w:pPr>
      <w:r>
        <w:rPr>
          <w:rFonts w:ascii="Calibri" w:hAnsi="Calibri"/>
          <w:b/>
          <w:i w:val="0"/>
          <w:color w:val="1F2937"/>
          <w:sz w:val="21"/>
        </w:rPr>
        <w:t>Nombre:</w:t>
      </w:r>
      <w:r>
        <w:rPr>
          <w:rFonts w:ascii="Calibri" w:hAnsi="Calibri"/>
          <w:b w:val="0"/>
          <w:i w:val="0"/>
          <w:color w:val="1F2937"/>
          <w:sz w:val="21"/>
        </w:rPr>
        <w:t xml:space="preserve"> Nombre completo del auxiliar de bodega.</w:t>
      </w:r>
    </w:p>
    <w:p w14:paraId="51B1CAF0">
      <w:pPr>
        <w:pStyle w:val="31"/>
        <w:spacing w:before="0" w:after="50" w:line="276" w:lineRule="auto"/>
        <w:ind w:left="720"/>
      </w:pPr>
      <w:r>
        <w:rPr>
          <w:rFonts w:ascii="Calibri" w:hAnsi="Calibri"/>
          <w:b/>
          <w:i w:val="0"/>
          <w:color w:val="1F2937"/>
          <w:sz w:val="21"/>
        </w:rPr>
        <w:t>Puntos Esfuerzo:</w:t>
      </w:r>
      <w:r>
        <w:rPr>
          <w:rFonts w:ascii="Calibri" w:hAnsi="Calibri"/>
          <w:b w:val="0"/>
          <w:i w:val="0"/>
          <w:color w:val="1F2937"/>
          <w:sz w:val="21"/>
        </w:rPr>
        <w:t xml:space="preserve"> Puntos acumulados en el ciclo. Los colaboradores que superan la meta base de 300 puntos se destacan en </w:t>
      </w:r>
      <w:r>
        <w:rPr>
          <w:rFonts w:ascii="Calibri" w:hAnsi="Calibri"/>
          <w:b/>
          <w:i w:val="0"/>
          <w:color w:val="1F2937"/>
          <w:sz w:val="21"/>
        </w:rPr>
        <w:t>color azul</w:t>
      </w:r>
      <w:r>
        <w:rPr>
          <w:rFonts w:ascii="Calibri" w:hAnsi="Calibri"/>
          <w:b w:val="0"/>
          <w:i w:val="0"/>
          <w:color w:val="1F2937"/>
          <w:sz w:val="21"/>
        </w:rPr>
        <w:t xml:space="preserve"> (ejemplo: Edward Sanchez con </w:t>
      </w:r>
      <w:r>
        <w:rPr>
          <w:rFonts w:ascii="Consolas" w:hAnsi="Consolas"/>
          <w:b w:val="0"/>
          <w:i w:val="0"/>
          <w:color w:val="0F172A"/>
          <w:sz w:val="18"/>
        </w:rPr>
        <w:t>548</w:t>
      </w:r>
      <w:r>
        <w:rPr>
          <w:rFonts w:ascii="Calibri" w:hAnsi="Calibri"/>
          <w:b w:val="0"/>
          <w:i w:val="0"/>
          <w:color w:val="1F2937"/>
          <w:sz w:val="21"/>
        </w:rPr>
        <w:t xml:space="preserve"> puntos en la 2da Quincena).</w:t>
      </w:r>
    </w:p>
    <w:p w14:paraId="7F3051C7">
      <w:pPr>
        <w:pStyle w:val="31"/>
        <w:spacing w:before="0" w:after="50" w:line="276" w:lineRule="auto"/>
        <w:ind w:left="720"/>
      </w:pPr>
      <w:r>
        <w:rPr>
          <w:rFonts w:ascii="Calibri" w:hAnsi="Calibri"/>
          <w:b/>
          <w:i w:val="0"/>
          <w:color w:val="1F2937"/>
          <w:sz w:val="21"/>
        </w:rPr>
        <w:t>Puntos Error:</w:t>
      </w:r>
      <w:r>
        <w:rPr>
          <w:rFonts w:ascii="Calibri" w:hAnsi="Calibri"/>
          <w:b w:val="0"/>
          <w:i w:val="0"/>
          <w:color w:val="1F2937"/>
          <w:sz w:val="21"/>
        </w:rPr>
        <w:t xml:space="preserve"> Conteo de faltas y equivocaciones registradas en el periodo.</w:t>
      </w:r>
    </w:p>
    <w:p w14:paraId="45025D69">
      <w:pPr>
        <w:pStyle w:val="31"/>
        <w:spacing w:before="0" w:after="50" w:line="276" w:lineRule="auto"/>
        <w:ind w:left="720"/>
      </w:pPr>
      <w:r>
        <w:rPr>
          <w:rFonts w:ascii="Calibri" w:hAnsi="Calibri"/>
          <w:b/>
          <w:i w:val="0"/>
          <w:color w:val="1F2937"/>
          <w:sz w:val="21"/>
        </w:rPr>
        <w:t>Total BONO:</w:t>
      </w:r>
      <w:r>
        <w:rPr>
          <w:rFonts w:ascii="Calibri" w:hAnsi="Calibri"/>
          <w:b w:val="0"/>
          <w:i w:val="0"/>
          <w:color w:val="1F2937"/>
          <w:sz w:val="21"/>
        </w:rPr>
        <w:t xml:space="preserve"> Retribución monetaria quincenal neta. Quienes alcanzaron bonificación se resaltan en </w:t>
      </w:r>
      <w:r>
        <w:rPr>
          <w:rFonts w:ascii="Calibri" w:hAnsi="Calibri"/>
          <w:b/>
          <w:i w:val="0"/>
          <w:color w:val="1F2937"/>
          <w:sz w:val="21"/>
        </w:rPr>
        <w:t>negrita con texto verde ($300.000)</w:t>
      </w:r>
      <w:r>
        <w:rPr>
          <w:rFonts w:ascii="Calibri" w:hAnsi="Calibri"/>
          <w:b w:val="0"/>
          <w:i w:val="0"/>
          <w:color w:val="1F2937"/>
          <w:sz w:val="21"/>
        </w:rPr>
        <w:t xml:space="preserve">. Quienes no alcanzaron el puntaje mínimo muestran </w:t>
      </w:r>
      <w:r>
        <w:rPr>
          <w:rFonts w:ascii="Consolas" w:hAnsi="Consolas"/>
          <w:b w:val="0"/>
          <w:i w:val="0"/>
          <w:color w:val="0F172A"/>
          <w:sz w:val="18"/>
        </w:rPr>
        <w:t>$0</w:t>
      </w:r>
      <w:r>
        <w:rPr>
          <w:rFonts w:ascii="Calibri" w:hAnsi="Calibri"/>
          <w:b w:val="0"/>
          <w:i w:val="0"/>
          <w:color w:val="1F2937"/>
          <w:sz w:val="21"/>
        </w:rPr>
        <w:t xml:space="preserve"> sin recarga visual.</w:t>
      </w:r>
    </w:p>
    <w:p w14:paraId="20896D9B">
      <w:pPr>
        <w:pStyle w:val="31"/>
        <w:spacing w:before="0" w:after="50" w:line="276" w:lineRule="auto"/>
        <w:ind w:left="360"/>
      </w:pPr>
      <w:r>
        <w:rPr>
          <w:rFonts w:ascii="Calibri" w:hAnsi="Calibri"/>
          <w:b/>
          <w:i w:val="0"/>
          <w:color w:val="1F2937"/>
          <w:sz w:val="21"/>
        </w:rPr>
        <w:t>Orden por Productividad:</w:t>
      </w:r>
      <w:r>
        <w:rPr>
          <w:rFonts w:ascii="Calibri" w:hAnsi="Calibri"/>
          <w:b w:val="0"/>
          <w:i w:val="0"/>
          <w:color w:val="1F2937"/>
          <w:sz w:val="21"/>
        </w:rPr>
        <w:t xml:space="preserve"> Dentro de cada quincena, los trabajadores se ordenan de mayor a menor puntaje de esfuerzo.</w:t>
      </w:r>
    </w:p>
    <w:p w14:paraId="1678FE0D">
      <w:pPr>
        <w:pStyle w:val="31"/>
        <w:spacing w:before="0" w:after="50" w:line="276" w:lineRule="auto"/>
        <w:ind w:left="360"/>
      </w:pPr>
      <w:r>
        <w:rPr>
          <w:rFonts w:ascii="Calibri" w:hAnsi="Calibri"/>
          <w:b/>
          <w:i w:val="0"/>
          <w:color w:val="1F2937"/>
          <w:sz w:val="21"/>
        </w:rPr>
        <w:t>Herramienta de Búsqueda:</w:t>
      </w:r>
      <w:r>
        <w:rPr>
          <w:rFonts w:ascii="Calibri" w:hAnsi="Calibri"/>
          <w:b w:val="0"/>
          <w:i w:val="0"/>
          <w:color w:val="1F2937"/>
          <w:sz w:val="21"/>
        </w:rPr>
        <w:t xml:space="preserve"> En la esquina superior derecha, la lupa permite buscar directamente a cualquier colaborador por su nombre.</w:t>
      </w:r>
    </w:p>
    <w:p w14:paraId="567F828E">
      <w:pPr>
        <w:pStyle w:val="31"/>
        <w:spacing w:before="0" w:after="50" w:line="276" w:lineRule="auto"/>
        <w:ind w:left="360"/>
      </w:pPr>
      <w:r>
        <w:rPr>
          <w:rFonts w:ascii="Calibri" w:hAnsi="Calibri"/>
          <w:b/>
          <w:i w:val="0"/>
          <w:color w:val="1F2937"/>
          <w:sz w:val="21"/>
        </w:rPr>
        <w:t>Acceso a Detalle:</w:t>
      </w:r>
      <w:r>
        <w:rPr>
          <w:rFonts w:ascii="Calibri" w:hAnsi="Calibri"/>
          <w:b w:val="0"/>
          <w:i w:val="0"/>
          <w:color w:val="1F2937"/>
          <w:sz w:val="21"/>
        </w:rPr>
        <w:t xml:space="preserve"> Al final de cada fila se encuentra una flecha de navegación para ingresar a la ficha analítica individual.</w:t>
      </w:r>
    </w:p>
    <w:p w14:paraId="32957D14">
      <w:pPr>
        <w:pStyle w:val="3"/>
        <w:keepNext/>
        <w:spacing w:before="240" w:after="80"/>
      </w:pPr>
      <w:bookmarkStart w:id="17" w:name="_Toc31570"/>
      <w:r>
        <w:rPr>
          <w:rFonts w:ascii="Calibri" w:hAnsi="Calibri"/>
          <w:b/>
          <w:color w:val="334155"/>
          <w:sz w:val="25"/>
        </w:rPr>
        <w:t>5.4. Ficha Analítica de Liquidación Individual</w:t>
      </w:r>
      <w:bookmarkEnd w:id="17"/>
    </w:p>
    <w:p w14:paraId="372B4FBD">
      <w:pPr>
        <w:spacing w:before="0" w:after="100" w:line="276" w:lineRule="auto"/>
      </w:pPr>
      <w:r>
        <w:rPr>
          <w:rFonts w:ascii="Calibri" w:hAnsi="Calibri"/>
          <w:b w:val="0"/>
          <w:i w:val="0"/>
          <w:color w:val="1F2937"/>
          <w:sz w:val="21"/>
        </w:rPr>
        <w:t xml:space="preserve">Al pulsar sobre la fila de un colaborador en la tabla quincenal, la aplicación abre su </w:t>
      </w:r>
      <w:r>
        <w:rPr>
          <w:rFonts w:ascii="Calibri" w:hAnsi="Calibri"/>
          <w:b/>
          <w:i w:val="0"/>
          <w:color w:val="1F2937"/>
          <w:sz w:val="21"/>
        </w:rPr>
        <w:t>ficha analítica individual</w:t>
      </w:r>
      <w:r>
        <w:rPr>
          <w:rFonts w:ascii="Calibri" w:hAnsi="Calibri"/>
          <w:b w:val="0"/>
          <w:i w:val="0"/>
          <w:color w:val="1F2937"/>
          <w:sz w:val="21"/>
        </w:rPr>
        <w:t>:</w:t>
      </w:r>
    </w:p>
    <w:p w14:paraId="7D7CE655">
      <w:pPr>
        <w:keepNext/>
        <w:keepLines/>
        <w:spacing w:before="120" w:after="60"/>
        <w:jc w:val="center"/>
      </w:pPr>
      <w:r>
        <w:drawing>
          <wp:inline distT="0" distB="0" distL="114300" distR="114300">
            <wp:extent cx="1781810" cy="34747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1781907" cy="3474720"/>
                    </a:xfrm>
                    <a:prstGeom prst="rect">
                      <a:avLst/>
                    </a:prstGeom>
                    <a:ln>
                      <a:solidFill>
                        <a:schemeClr val="bg1">
                          <a:lumMod val="85000"/>
                        </a:schemeClr>
                      </a:solidFill>
                    </a:ln>
                  </pic:spPr>
                </pic:pic>
              </a:graphicData>
            </a:graphic>
          </wp:inline>
        </w:drawing>
      </w:r>
    </w:p>
    <w:p w14:paraId="5169A087">
      <w:pPr>
        <w:keepLines/>
        <w:spacing w:before="20" w:after="120"/>
        <w:jc w:val="center"/>
      </w:pPr>
      <w:r>
        <w:rPr>
          <w:rFonts w:ascii="Calibri" w:hAnsi="Calibri"/>
          <w:i/>
          <w:color w:val="64748B"/>
          <w:sz w:val="17"/>
        </w:rPr>
        <w:t>Ficha Analítica de Liquidación Individual</w:t>
      </w:r>
    </w:p>
    <w:p w14:paraId="1BED8949">
      <w:pPr>
        <w:spacing w:before="0" w:after="100" w:line="276" w:lineRule="auto"/>
      </w:pPr>
      <w:r>
        <w:rPr>
          <w:rFonts w:ascii="Calibri" w:hAnsi="Calibri"/>
          <w:b w:val="0"/>
          <w:i w:val="0"/>
          <w:color w:val="1F2937"/>
          <w:sz w:val="21"/>
        </w:rPr>
        <w:t xml:space="preserve">La pantalla desglosa con exactitud los </w:t>
      </w:r>
      <w:r>
        <w:rPr>
          <w:rFonts w:ascii="Calibri" w:hAnsi="Calibri"/>
          <w:b/>
          <w:i w:val="0"/>
          <w:color w:val="1F2937"/>
          <w:sz w:val="21"/>
        </w:rPr>
        <w:t>ocho rubros contables de la liquidación</w:t>
      </w:r>
      <w:r>
        <w:rPr>
          <w:rFonts w:ascii="Calibri" w:hAnsi="Calibri"/>
          <w:b w:val="0"/>
          <w:i w:val="0"/>
          <w:color w:val="1F2937"/>
          <w:sz w:val="21"/>
        </w:rPr>
        <w:t>:</w:t>
      </w:r>
    </w:p>
    <w:p w14:paraId="3E189665">
      <w:pPr>
        <w:pStyle w:val="31"/>
        <w:spacing w:before="0" w:after="50" w:line="276" w:lineRule="auto"/>
        <w:ind w:left="360"/>
      </w:pPr>
      <w:r>
        <w:rPr>
          <w:rFonts w:ascii="Calibri" w:hAnsi="Calibri"/>
          <w:b/>
          <w:i w:val="0"/>
          <w:color w:val="1F2937"/>
          <w:sz w:val="21"/>
        </w:rPr>
        <w:t>Periodo:</w:t>
      </w:r>
      <w:r>
        <w:rPr>
          <w:rFonts w:ascii="Calibri" w:hAnsi="Calibri"/>
          <w:b w:val="0"/>
          <w:i w:val="0"/>
          <w:color w:val="1F2937"/>
          <w:sz w:val="21"/>
        </w:rPr>
        <w:t xml:space="preserve"> Quincena, mes y año fiscal evaluado (ejemplo: </w:t>
      </w:r>
      <w:r>
        <w:rPr>
          <w:rFonts w:ascii="Consolas" w:hAnsi="Consolas"/>
          <w:b w:val="0"/>
          <w:i w:val="0"/>
          <w:color w:val="0F172A"/>
          <w:sz w:val="18"/>
        </w:rPr>
        <w:t>2da Quincena · Octubre 2026</w:t>
      </w:r>
      <w:r>
        <w:rPr>
          <w:rFonts w:ascii="Calibri" w:hAnsi="Calibri"/>
          <w:b w:val="0"/>
          <w:i w:val="0"/>
          <w:color w:val="1F2937"/>
          <w:sz w:val="21"/>
        </w:rPr>
        <w:t>).</w:t>
      </w:r>
    </w:p>
    <w:p w14:paraId="1665A56B">
      <w:pPr>
        <w:pStyle w:val="31"/>
        <w:spacing w:before="0" w:after="50" w:line="276" w:lineRule="auto"/>
        <w:ind w:left="360"/>
      </w:pPr>
      <w:r>
        <w:rPr>
          <w:rFonts w:ascii="Calibri" w:hAnsi="Calibri"/>
          <w:b/>
          <w:i w:val="0"/>
          <w:color w:val="1F2937"/>
          <w:sz w:val="21"/>
        </w:rPr>
        <w:t>Nombre:</w:t>
      </w:r>
      <w:r>
        <w:rPr>
          <w:rFonts w:ascii="Calibri" w:hAnsi="Calibri"/>
          <w:b w:val="0"/>
          <w:i w:val="0"/>
          <w:color w:val="1F2937"/>
          <w:sz w:val="21"/>
        </w:rPr>
        <w:t xml:space="preserve"> Nombre completo del auxiliar de bodega (ejemplo: </w:t>
      </w:r>
      <w:r>
        <w:rPr>
          <w:rFonts w:ascii="Consolas" w:hAnsi="Consolas"/>
          <w:b w:val="0"/>
          <w:i w:val="0"/>
          <w:color w:val="0F172A"/>
          <w:sz w:val="18"/>
        </w:rPr>
        <w:t>Edward Sanchez</w:t>
      </w:r>
      <w:r>
        <w:rPr>
          <w:rFonts w:ascii="Calibri" w:hAnsi="Calibri"/>
          <w:b w:val="0"/>
          <w:i w:val="0"/>
          <w:color w:val="1F2937"/>
          <w:sz w:val="21"/>
        </w:rPr>
        <w:t>).</w:t>
      </w:r>
    </w:p>
    <w:p w14:paraId="064024B0">
      <w:pPr>
        <w:pStyle w:val="31"/>
        <w:spacing w:before="0" w:after="50" w:line="276" w:lineRule="auto"/>
        <w:ind w:left="360"/>
      </w:pPr>
      <w:r>
        <w:rPr>
          <w:rFonts w:ascii="Calibri" w:hAnsi="Calibri"/>
          <w:b/>
          <w:i w:val="0"/>
          <w:color w:val="1F2937"/>
          <w:sz w:val="21"/>
        </w:rPr>
        <w:t>ID:</w:t>
      </w:r>
      <w:r>
        <w:rPr>
          <w:rFonts w:ascii="Calibri" w:hAnsi="Calibri"/>
          <w:b w:val="0"/>
          <w:i w:val="0"/>
          <w:color w:val="1F2937"/>
          <w:sz w:val="21"/>
        </w:rPr>
        <w:t xml:space="preserve"> Identificador de nómina del colaborador (ejemplo: </w:t>
      </w:r>
      <w:r>
        <w:rPr>
          <w:rFonts w:ascii="Consolas" w:hAnsi="Consolas"/>
          <w:b w:val="0"/>
          <w:i w:val="0"/>
          <w:color w:val="0F172A"/>
          <w:sz w:val="18"/>
        </w:rPr>
        <w:t>1002</w:t>
      </w:r>
      <w:r>
        <w:rPr>
          <w:rFonts w:ascii="Calibri" w:hAnsi="Calibri"/>
          <w:b w:val="0"/>
          <w:i w:val="0"/>
          <w:color w:val="1F2937"/>
          <w:sz w:val="21"/>
        </w:rPr>
        <w:t>).</w:t>
      </w:r>
    </w:p>
    <w:p w14:paraId="4F20CA5D">
      <w:pPr>
        <w:pStyle w:val="31"/>
        <w:spacing w:before="0" w:after="50" w:line="276" w:lineRule="auto"/>
        <w:ind w:left="360"/>
      </w:pPr>
      <w:r>
        <w:rPr>
          <w:rFonts w:ascii="Calibri" w:hAnsi="Calibri"/>
          <w:b/>
          <w:i w:val="0"/>
          <w:color w:val="1F2937"/>
          <w:sz w:val="21"/>
        </w:rPr>
        <w:t>Puntos Esfuerzo:</w:t>
      </w:r>
      <w:r>
        <w:rPr>
          <w:rFonts w:ascii="Calibri" w:hAnsi="Calibri"/>
          <w:b w:val="0"/>
          <w:i w:val="0"/>
          <w:color w:val="1F2937"/>
          <w:sz w:val="21"/>
        </w:rPr>
        <w:t xml:space="preserve"> Puntos totales de dificultad acumulados por los despachos alistados (ejemplo: </w:t>
      </w:r>
      <w:r>
        <w:rPr>
          <w:rFonts w:ascii="Consolas" w:hAnsi="Consolas"/>
          <w:b w:val="0"/>
          <w:i w:val="0"/>
          <w:color w:val="0F172A"/>
          <w:sz w:val="18"/>
        </w:rPr>
        <w:t>548</w:t>
      </w:r>
      <w:r>
        <w:rPr>
          <w:rFonts w:ascii="Calibri" w:hAnsi="Calibri"/>
          <w:b w:val="0"/>
          <w:i w:val="0"/>
          <w:color w:val="1F2937"/>
          <w:sz w:val="21"/>
        </w:rPr>
        <w:t>, destacado en color azul por superar la meta base).</w:t>
      </w:r>
    </w:p>
    <w:p w14:paraId="4C6DA789">
      <w:pPr>
        <w:pStyle w:val="31"/>
        <w:spacing w:before="0" w:after="50" w:line="276" w:lineRule="auto"/>
        <w:ind w:left="360"/>
      </w:pPr>
      <w:r>
        <w:rPr>
          <w:rFonts w:ascii="Calibri" w:hAnsi="Calibri"/>
          <w:b/>
          <w:i w:val="0"/>
          <w:color w:val="1F2937"/>
          <w:sz w:val="21"/>
        </w:rPr>
        <w:t>Puntos Error:</w:t>
      </w:r>
      <w:r>
        <w:rPr>
          <w:rFonts w:ascii="Calibri" w:hAnsi="Calibri"/>
          <w:b w:val="0"/>
          <w:i w:val="0"/>
          <w:color w:val="1F2937"/>
          <w:sz w:val="21"/>
        </w:rPr>
        <w:t xml:space="preserve"> Faltas acumuladas en el ciclo (ejemplo: </w:t>
      </w:r>
      <w:r>
        <w:rPr>
          <w:rFonts w:ascii="Consolas" w:hAnsi="Consolas"/>
          <w:b w:val="0"/>
          <w:i w:val="0"/>
          <w:color w:val="0F172A"/>
          <w:sz w:val="18"/>
        </w:rPr>
        <w:t>0</w:t>
      </w:r>
      <w:r>
        <w:rPr>
          <w:rFonts w:ascii="Calibri" w:hAnsi="Calibri"/>
          <w:b w:val="0"/>
          <w:i w:val="0"/>
          <w:color w:val="1F2937"/>
          <w:sz w:val="21"/>
        </w:rPr>
        <w:t>).</w:t>
      </w:r>
    </w:p>
    <w:p w14:paraId="5E1B01DE">
      <w:pPr>
        <w:pStyle w:val="31"/>
        <w:spacing w:before="0" w:after="50" w:line="276" w:lineRule="auto"/>
        <w:ind w:left="360"/>
      </w:pPr>
      <w:r>
        <w:rPr>
          <w:rFonts w:ascii="Calibri" w:hAnsi="Calibri"/>
          <w:b/>
          <w:i w:val="0"/>
          <w:color w:val="1F2937"/>
          <w:sz w:val="21"/>
        </w:rPr>
        <w:t>Bono Productivo:</w:t>
      </w:r>
      <w:r>
        <w:rPr>
          <w:rFonts w:ascii="Calibri" w:hAnsi="Calibri"/>
          <w:b w:val="0"/>
          <w:i w:val="0"/>
          <w:color w:val="1F2937"/>
          <w:sz w:val="21"/>
        </w:rPr>
        <w:t xml:space="preserve"> Compensación económica por el tramo de productividad alcanzado (ejemplo: </w:t>
      </w:r>
      <w:r>
        <w:rPr>
          <w:rFonts w:ascii="Consolas" w:hAnsi="Consolas"/>
          <w:b w:val="0"/>
          <w:i w:val="0"/>
          <w:color w:val="0F172A"/>
          <w:sz w:val="18"/>
        </w:rPr>
        <w:t>$200.000</w:t>
      </w:r>
      <w:r>
        <w:rPr>
          <w:rFonts w:ascii="Calibri" w:hAnsi="Calibri"/>
          <w:b w:val="0"/>
          <w:i w:val="0"/>
          <w:color w:val="1F2937"/>
          <w:sz w:val="21"/>
        </w:rPr>
        <w:t>, resaltado en verde).</w:t>
      </w:r>
    </w:p>
    <w:p w14:paraId="2679A726">
      <w:pPr>
        <w:pStyle w:val="31"/>
        <w:spacing w:before="0" w:after="50" w:line="276" w:lineRule="auto"/>
        <w:ind w:left="360"/>
      </w:pPr>
      <w:r>
        <w:rPr>
          <w:rFonts w:ascii="Calibri" w:hAnsi="Calibri"/>
          <w:b/>
          <w:i w:val="0"/>
          <w:color w:val="1F2937"/>
          <w:sz w:val="21"/>
        </w:rPr>
        <w:t>Bono Calidad:</w:t>
      </w:r>
      <w:r>
        <w:rPr>
          <w:rFonts w:ascii="Calibri" w:hAnsi="Calibri"/>
          <w:b w:val="0"/>
          <w:i w:val="0"/>
          <w:color w:val="1F2937"/>
          <w:sz w:val="21"/>
        </w:rPr>
        <w:t xml:space="preserve"> Fondo de calidad quincenal reconocido (ejemplo: </w:t>
      </w:r>
      <w:r>
        <w:rPr>
          <w:rFonts w:ascii="Consolas" w:hAnsi="Consolas"/>
          <w:b w:val="0"/>
          <w:i w:val="0"/>
          <w:color w:val="0F172A"/>
          <w:sz w:val="18"/>
        </w:rPr>
        <w:t>$100.000</w:t>
      </w:r>
      <w:r>
        <w:rPr>
          <w:rFonts w:ascii="Calibri" w:hAnsi="Calibri"/>
          <w:b w:val="0"/>
          <w:i w:val="0"/>
          <w:color w:val="1F2937"/>
          <w:sz w:val="21"/>
        </w:rPr>
        <w:t>, resaltado en verde).</w:t>
      </w:r>
    </w:p>
    <w:p w14:paraId="651C633C">
      <w:pPr>
        <w:pStyle w:val="31"/>
        <w:spacing w:before="0" w:after="50" w:line="276" w:lineRule="auto"/>
        <w:ind w:left="360"/>
      </w:pPr>
      <w:r>
        <w:rPr>
          <w:rFonts w:ascii="Calibri" w:hAnsi="Calibri"/>
          <w:b/>
          <w:i w:val="0"/>
          <w:color w:val="1F2937"/>
          <w:sz w:val="21"/>
        </w:rPr>
        <w:t>Total BONO:</w:t>
      </w:r>
      <w:r>
        <w:rPr>
          <w:rFonts w:ascii="Calibri" w:hAnsi="Calibri"/>
          <w:b w:val="0"/>
          <w:i w:val="0"/>
          <w:color w:val="1F2937"/>
          <w:sz w:val="21"/>
        </w:rPr>
        <w:t xml:space="preserve"> Suma neta final a cancelar en nómina (Bono Productivo más Bono Calidad) (ejemplo: </w:t>
      </w:r>
      <w:r>
        <w:rPr>
          <w:rFonts w:ascii="Consolas" w:hAnsi="Consolas"/>
          <w:b w:val="0"/>
          <w:i w:val="0"/>
          <w:color w:val="0F172A"/>
          <w:sz w:val="18"/>
        </w:rPr>
        <w:t>$300.000</w:t>
      </w:r>
      <w:r>
        <w:rPr>
          <w:rFonts w:ascii="Calibri" w:hAnsi="Calibri"/>
          <w:b w:val="0"/>
          <w:i w:val="0"/>
          <w:color w:val="1F2937"/>
          <w:sz w:val="21"/>
        </w:rPr>
        <w:t>, resaltado en verde).</w:t>
      </w:r>
      <w:bookmarkStart w:id="18" w:name="_Toc11396"/>
    </w:p>
    <w:p w14:paraId="24DF3DE7">
      <w:r>
        <w:rPr>
          <w:rFonts w:ascii="Calibri" w:hAnsi="Calibri"/>
          <w:b/>
          <w:color w:val="1E293B"/>
          <w:sz w:val="30"/>
        </w:rPr>
        <w:br w:type="page"/>
      </w:r>
      <w:r>
        <w:rPr>
          <w:rFonts w:ascii="Calibri" w:hAnsi="Calibri"/>
          <w:b/>
          <w:color w:val="1E293B"/>
          <w:sz w:val="30"/>
        </w:rPr>
        <w:t>6. Matriz de Parámetros Económicos y Calibración Financiera</w:t>
      </w:r>
      <w:bookmarkEnd w:id="18"/>
    </w:p>
    <w:p w14:paraId="2A8AEB4C">
      <w:pPr>
        <w:spacing w:before="0" w:after="100" w:line="276" w:lineRule="auto"/>
        <w:rPr>
          <w:rFonts w:ascii="Calibri" w:hAnsi="Calibri"/>
          <w:b w:val="0"/>
          <w:i w:val="0"/>
          <w:color w:val="1F2937"/>
          <w:sz w:val="21"/>
        </w:rPr>
      </w:pPr>
      <w:r>
        <w:rPr>
          <w:rFonts w:ascii="Calibri" w:hAnsi="Calibri"/>
          <w:b w:val="0"/>
          <w:i w:val="0"/>
          <w:color w:val="1F2937"/>
          <w:sz w:val="21"/>
        </w:rPr>
        <w:t>Para resolver dudas operativas a los auxiliares de bodega, el esquema de incentivos se rige bajo los siguientes parámetros aprobados por la Dirección de Operaciones:</w:t>
      </w:r>
      <w:bookmarkStart w:id="19" w:name="_Toc27693"/>
    </w:p>
    <w:tbl>
      <w:tblPr>
        <w:tblStyle w:val="12"/>
        <w:tblW w:w="0" w:type="auto"/>
        <w:jc w:val="center"/>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3120"/>
        <w:gridCol w:w="3120"/>
        <w:gridCol w:w="3120"/>
      </w:tblGrid>
      <w:tr w14:paraId="45D0DFDA">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tblHeader/>
          <w:jc w:val="center"/>
        </w:trPr>
        <w:tc>
          <w:tcPr>
            <w:tcW w:w="3120" w:type="dxa"/>
            <w:shd w:val="clear" w:color="auto" w:fill="334155"/>
            <w:tcMar>
              <w:top w:w="100" w:type="dxa"/>
              <w:left w:w="120" w:type="dxa"/>
              <w:bottom w:w="100" w:type="dxa"/>
              <w:right w:w="120" w:type="dxa"/>
            </w:tcMar>
          </w:tcPr>
          <w:p w14:paraId="377948A7">
            <w:r>
              <w:rPr>
                <w:rFonts w:ascii="Calibri" w:hAnsi="Calibri"/>
                <w:b/>
                <w:color w:val="1E293B"/>
                <w:sz w:val="30"/>
              </w:rPr>
              <w:br w:type="page"/>
            </w:r>
            <w:r>
              <w:rPr>
                <w:rFonts w:ascii="Calibri" w:hAnsi="Calibri"/>
                <w:b/>
                <w:color w:val="FFFFFF"/>
                <w:sz w:val="19"/>
              </w:rPr>
              <w:t>Parámetro Operativo</w:t>
            </w:r>
          </w:p>
        </w:tc>
        <w:tc>
          <w:tcPr>
            <w:tcW w:w="3120" w:type="dxa"/>
            <w:shd w:val="clear" w:color="auto" w:fill="334155"/>
            <w:tcMar>
              <w:top w:w="100" w:type="dxa"/>
              <w:left w:w="120" w:type="dxa"/>
              <w:bottom w:w="100" w:type="dxa"/>
              <w:right w:w="120" w:type="dxa"/>
            </w:tcMar>
          </w:tcPr>
          <w:p w14:paraId="27A463E8">
            <w:pPr>
              <w:spacing w:before="0" w:after="0"/>
            </w:pPr>
            <w:r>
              <w:rPr>
                <w:rFonts w:ascii="Calibri" w:hAnsi="Calibri"/>
                <w:b/>
                <w:color w:val="FFFFFF"/>
                <w:sz w:val="19"/>
              </w:rPr>
              <w:t>Valor / Condición</w:t>
            </w:r>
          </w:p>
        </w:tc>
        <w:tc>
          <w:tcPr>
            <w:tcW w:w="3120" w:type="dxa"/>
            <w:shd w:val="clear" w:color="auto" w:fill="334155"/>
            <w:tcMar>
              <w:top w:w="100" w:type="dxa"/>
              <w:left w:w="120" w:type="dxa"/>
              <w:bottom w:w="100" w:type="dxa"/>
              <w:right w:w="120" w:type="dxa"/>
            </w:tcMar>
          </w:tcPr>
          <w:p w14:paraId="3F60DB51">
            <w:pPr>
              <w:spacing w:before="0" w:after="0"/>
            </w:pPr>
            <w:r>
              <w:rPr>
                <w:rFonts w:ascii="Calibri" w:hAnsi="Calibri"/>
                <w:b/>
                <w:color w:val="FFFFFF"/>
                <w:sz w:val="19"/>
              </w:rPr>
              <w:t>Regla de Aplicación en Bodega</w:t>
            </w:r>
          </w:p>
        </w:tc>
      </w:tr>
      <w:tr w14:paraId="5880F3EC">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3120" w:type="dxa"/>
            <w:shd w:val="clear" w:color="auto" w:fill="FFFFFF"/>
            <w:tcMar>
              <w:top w:w="90" w:type="dxa"/>
              <w:left w:w="120" w:type="dxa"/>
              <w:bottom w:w="90" w:type="dxa"/>
              <w:right w:w="120" w:type="dxa"/>
            </w:tcMar>
          </w:tcPr>
          <w:p w14:paraId="2A04C86D">
            <w:pPr>
              <w:spacing w:before="0" w:after="0" w:line="264" w:lineRule="auto"/>
            </w:pPr>
            <w:r>
              <w:rPr>
                <w:rFonts w:ascii="Calibri" w:hAnsi="Calibri"/>
                <w:b/>
                <w:i w:val="0"/>
                <w:color w:val="1F2937"/>
                <w:sz w:val="18"/>
              </w:rPr>
              <w:t>Meta Base Quincenal</w:t>
            </w:r>
          </w:p>
        </w:tc>
        <w:tc>
          <w:tcPr>
            <w:tcW w:w="3120" w:type="dxa"/>
            <w:shd w:val="clear" w:color="auto" w:fill="FFFFFF"/>
            <w:tcMar>
              <w:top w:w="90" w:type="dxa"/>
              <w:left w:w="120" w:type="dxa"/>
              <w:bottom w:w="90" w:type="dxa"/>
              <w:right w:w="120" w:type="dxa"/>
            </w:tcMar>
          </w:tcPr>
          <w:p w14:paraId="70BDF2E5">
            <w:pPr>
              <w:spacing w:before="0" w:after="0" w:line="264" w:lineRule="auto"/>
            </w:pPr>
            <w:r>
              <w:rPr>
                <w:rFonts w:ascii="Calibri" w:hAnsi="Calibri"/>
                <w:b/>
                <w:i w:val="0"/>
                <w:color w:val="1F2937"/>
                <w:sz w:val="18"/>
              </w:rPr>
              <w:t>300 puntos</w:t>
            </w:r>
          </w:p>
        </w:tc>
        <w:tc>
          <w:tcPr>
            <w:tcW w:w="3120" w:type="dxa"/>
            <w:shd w:val="clear" w:color="auto" w:fill="FFFFFF"/>
            <w:tcMar>
              <w:top w:w="90" w:type="dxa"/>
              <w:left w:w="120" w:type="dxa"/>
              <w:bottom w:w="90" w:type="dxa"/>
              <w:right w:w="120" w:type="dxa"/>
            </w:tcMar>
          </w:tcPr>
          <w:p w14:paraId="72001400">
            <w:pPr>
              <w:spacing w:before="0" w:after="0" w:line="264" w:lineRule="auto"/>
            </w:pPr>
            <w:r>
              <w:rPr>
                <w:rFonts w:ascii="Calibri" w:hAnsi="Calibri"/>
                <w:b w:val="0"/>
                <w:i w:val="0"/>
                <w:color w:val="1F2937"/>
                <w:sz w:val="18"/>
              </w:rPr>
              <w:t>Nivel de rendimiento estándar cubierto por el salario ordinario. A partir de 301 puntos se desbloquea el derecho a bonificación.</w:t>
            </w:r>
          </w:p>
        </w:tc>
      </w:tr>
      <w:tr w14:paraId="72512B67">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3120" w:type="dxa"/>
            <w:shd w:val="clear" w:color="auto" w:fill="F8FAFC"/>
            <w:tcMar>
              <w:top w:w="90" w:type="dxa"/>
              <w:left w:w="120" w:type="dxa"/>
              <w:bottom w:w="90" w:type="dxa"/>
              <w:right w:w="120" w:type="dxa"/>
            </w:tcMar>
          </w:tcPr>
          <w:p w14:paraId="2C6EBD22">
            <w:pPr>
              <w:spacing w:before="0" w:after="0" w:line="264" w:lineRule="auto"/>
            </w:pPr>
            <w:r>
              <w:rPr>
                <w:rFonts w:ascii="Calibri" w:hAnsi="Calibri"/>
                <w:b/>
                <w:i w:val="0"/>
                <w:color w:val="1F2937"/>
                <w:sz w:val="18"/>
              </w:rPr>
              <w:t>Tramo 1 de Productividad</w:t>
            </w:r>
          </w:p>
        </w:tc>
        <w:tc>
          <w:tcPr>
            <w:tcW w:w="3120" w:type="dxa"/>
            <w:shd w:val="clear" w:color="auto" w:fill="F8FAFC"/>
            <w:tcMar>
              <w:top w:w="90" w:type="dxa"/>
              <w:left w:w="120" w:type="dxa"/>
              <w:bottom w:w="90" w:type="dxa"/>
              <w:right w:w="120" w:type="dxa"/>
            </w:tcMar>
          </w:tcPr>
          <w:p w14:paraId="2BC7F406">
            <w:pPr>
              <w:spacing w:before="0" w:after="0" w:line="264" w:lineRule="auto"/>
            </w:pPr>
            <w:r>
              <w:rPr>
                <w:rFonts w:ascii="Calibri" w:hAnsi="Calibri"/>
                <w:b w:val="0"/>
                <w:i w:val="0"/>
                <w:color w:val="1F2937"/>
                <w:sz w:val="18"/>
              </w:rPr>
              <w:t>301 a 350 puntos</w:t>
            </w:r>
          </w:p>
        </w:tc>
        <w:tc>
          <w:tcPr>
            <w:tcW w:w="3120" w:type="dxa"/>
            <w:shd w:val="clear" w:color="auto" w:fill="F8FAFC"/>
            <w:tcMar>
              <w:top w:w="90" w:type="dxa"/>
              <w:left w:w="120" w:type="dxa"/>
              <w:bottom w:w="90" w:type="dxa"/>
              <w:right w:w="120" w:type="dxa"/>
            </w:tcMar>
          </w:tcPr>
          <w:p w14:paraId="49ADAAC4">
            <w:pPr>
              <w:spacing w:before="0" w:after="0" w:line="264" w:lineRule="auto"/>
            </w:pPr>
            <w:r>
              <w:rPr>
                <w:rFonts w:ascii="Calibri" w:hAnsi="Calibri"/>
                <w:b w:val="0"/>
                <w:i w:val="0"/>
                <w:color w:val="1F2937"/>
                <w:sz w:val="18"/>
              </w:rPr>
              <w:t>Bonificación quincenal de reconocimiento inicial por sobre-esfuerzo operativo.</w:t>
            </w:r>
          </w:p>
        </w:tc>
      </w:tr>
      <w:tr w14:paraId="7452C21D">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3120" w:type="dxa"/>
            <w:shd w:val="clear" w:color="auto" w:fill="FFFFFF"/>
            <w:tcMar>
              <w:top w:w="90" w:type="dxa"/>
              <w:left w:w="120" w:type="dxa"/>
              <w:bottom w:w="90" w:type="dxa"/>
              <w:right w:w="120" w:type="dxa"/>
            </w:tcMar>
          </w:tcPr>
          <w:p w14:paraId="64E67713">
            <w:pPr>
              <w:spacing w:before="0" w:after="0" w:line="264" w:lineRule="auto"/>
            </w:pPr>
            <w:r>
              <w:rPr>
                <w:rFonts w:ascii="Calibri" w:hAnsi="Calibri"/>
                <w:b/>
                <w:i w:val="0"/>
                <w:color w:val="1F2937"/>
                <w:sz w:val="18"/>
              </w:rPr>
              <w:t>Tramo 2 de Productividad</w:t>
            </w:r>
          </w:p>
        </w:tc>
        <w:tc>
          <w:tcPr>
            <w:tcW w:w="3120" w:type="dxa"/>
            <w:shd w:val="clear" w:color="auto" w:fill="FFFFFF"/>
            <w:tcMar>
              <w:top w:w="90" w:type="dxa"/>
              <w:left w:w="120" w:type="dxa"/>
              <w:bottom w:w="90" w:type="dxa"/>
              <w:right w:w="120" w:type="dxa"/>
            </w:tcMar>
          </w:tcPr>
          <w:p w14:paraId="1AE37431">
            <w:pPr>
              <w:spacing w:before="0" w:after="0" w:line="264" w:lineRule="auto"/>
            </w:pPr>
            <w:r>
              <w:rPr>
                <w:rFonts w:ascii="Calibri" w:hAnsi="Calibri"/>
                <w:b w:val="0"/>
                <w:i w:val="0"/>
                <w:color w:val="1F2937"/>
                <w:sz w:val="18"/>
              </w:rPr>
              <w:t>351 a 400 puntos</w:t>
            </w:r>
          </w:p>
        </w:tc>
        <w:tc>
          <w:tcPr>
            <w:tcW w:w="3120" w:type="dxa"/>
            <w:shd w:val="clear" w:color="auto" w:fill="FFFFFF"/>
            <w:tcMar>
              <w:top w:w="90" w:type="dxa"/>
              <w:left w:w="120" w:type="dxa"/>
              <w:bottom w:w="90" w:type="dxa"/>
              <w:right w:w="120" w:type="dxa"/>
            </w:tcMar>
          </w:tcPr>
          <w:p w14:paraId="08EC9A64">
            <w:pPr>
              <w:spacing w:before="0" w:after="0" w:line="264" w:lineRule="auto"/>
            </w:pPr>
            <w:r>
              <w:rPr>
                <w:rFonts w:ascii="Calibri" w:hAnsi="Calibri"/>
                <w:b w:val="0"/>
                <w:i w:val="0"/>
                <w:color w:val="1F2937"/>
                <w:sz w:val="18"/>
              </w:rPr>
              <w:t>Bonificación quincenal intermedia por alto rendimiento sostenido.</w:t>
            </w:r>
          </w:p>
        </w:tc>
      </w:tr>
      <w:tr w14:paraId="6DB94122">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3120" w:type="dxa"/>
            <w:shd w:val="clear" w:color="auto" w:fill="F8FAFC"/>
            <w:tcMar>
              <w:top w:w="90" w:type="dxa"/>
              <w:left w:w="120" w:type="dxa"/>
              <w:bottom w:w="90" w:type="dxa"/>
              <w:right w:w="120" w:type="dxa"/>
            </w:tcMar>
          </w:tcPr>
          <w:p w14:paraId="37A564B5">
            <w:pPr>
              <w:spacing w:before="0" w:after="0" w:line="264" w:lineRule="auto"/>
            </w:pPr>
            <w:r>
              <w:rPr>
                <w:rFonts w:ascii="Calibri" w:hAnsi="Calibri"/>
                <w:b/>
                <w:i w:val="0"/>
                <w:color w:val="1F2937"/>
                <w:sz w:val="18"/>
              </w:rPr>
              <w:t>Tramo 3 de Productividad</w:t>
            </w:r>
          </w:p>
        </w:tc>
        <w:tc>
          <w:tcPr>
            <w:tcW w:w="3120" w:type="dxa"/>
            <w:shd w:val="clear" w:color="auto" w:fill="F8FAFC"/>
            <w:tcMar>
              <w:top w:w="90" w:type="dxa"/>
              <w:left w:w="120" w:type="dxa"/>
              <w:bottom w:w="90" w:type="dxa"/>
              <w:right w:w="120" w:type="dxa"/>
            </w:tcMar>
          </w:tcPr>
          <w:p w14:paraId="25747C28">
            <w:pPr>
              <w:spacing w:before="0" w:after="0" w:line="264" w:lineRule="auto"/>
            </w:pPr>
            <w:r>
              <w:rPr>
                <w:rFonts w:ascii="Calibri" w:hAnsi="Calibri"/>
                <w:b w:val="0"/>
                <w:i w:val="0"/>
                <w:color w:val="1F2937"/>
                <w:sz w:val="18"/>
              </w:rPr>
              <w:t>401 a 450 puntos</w:t>
            </w:r>
          </w:p>
        </w:tc>
        <w:tc>
          <w:tcPr>
            <w:tcW w:w="3120" w:type="dxa"/>
            <w:shd w:val="clear" w:color="auto" w:fill="F8FAFC"/>
            <w:tcMar>
              <w:top w:w="90" w:type="dxa"/>
              <w:left w:w="120" w:type="dxa"/>
              <w:bottom w:w="90" w:type="dxa"/>
              <w:right w:w="120" w:type="dxa"/>
            </w:tcMar>
          </w:tcPr>
          <w:p w14:paraId="26B9F7E0">
            <w:pPr>
              <w:spacing w:before="0" w:after="0" w:line="264" w:lineRule="auto"/>
            </w:pPr>
            <w:r>
              <w:rPr>
                <w:rFonts w:ascii="Calibri" w:hAnsi="Calibri"/>
                <w:b w:val="0"/>
                <w:i w:val="0"/>
                <w:color w:val="1F2937"/>
                <w:sz w:val="18"/>
              </w:rPr>
              <w:t>Bonificación quincenal destacada por sobre-esfuerzo sobresaliente.</w:t>
            </w:r>
          </w:p>
        </w:tc>
      </w:tr>
      <w:tr w14:paraId="2232C17F">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3120" w:type="dxa"/>
            <w:shd w:val="clear" w:color="auto" w:fill="FFFFFF"/>
            <w:tcMar>
              <w:top w:w="90" w:type="dxa"/>
              <w:left w:w="120" w:type="dxa"/>
              <w:bottom w:w="90" w:type="dxa"/>
              <w:right w:w="120" w:type="dxa"/>
            </w:tcMar>
          </w:tcPr>
          <w:p w14:paraId="5B412679">
            <w:pPr>
              <w:spacing w:before="0" w:after="0" w:line="264" w:lineRule="auto"/>
            </w:pPr>
            <w:r>
              <w:rPr>
                <w:rFonts w:ascii="Calibri" w:hAnsi="Calibri"/>
                <w:b/>
                <w:i w:val="0"/>
                <w:color w:val="1F2937"/>
                <w:sz w:val="18"/>
              </w:rPr>
              <w:t>Tramo 4 de Productividad</w:t>
            </w:r>
          </w:p>
        </w:tc>
        <w:tc>
          <w:tcPr>
            <w:tcW w:w="3120" w:type="dxa"/>
            <w:shd w:val="clear" w:color="auto" w:fill="FFFFFF"/>
            <w:tcMar>
              <w:top w:w="90" w:type="dxa"/>
              <w:left w:w="120" w:type="dxa"/>
              <w:bottom w:w="90" w:type="dxa"/>
              <w:right w:w="120" w:type="dxa"/>
            </w:tcMar>
          </w:tcPr>
          <w:p w14:paraId="5F591E34">
            <w:pPr>
              <w:spacing w:before="0" w:after="0" w:line="264" w:lineRule="auto"/>
            </w:pPr>
            <w:r>
              <w:rPr>
                <w:rFonts w:ascii="Calibri" w:hAnsi="Calibri"/>
                <w:b w:val="0"/>
                <w:i w:val="0"/>
                <w:color w:val="1F2937"/>
                <w:sz w:val="18"/>
              </w:rPr>
              <w:t>451 o más puntos</w:t>
            </w:r>
          </w:p>
        </w:tc>
        <w:tc>
          <w:tcPr>
            <w:tcW w:w="3120" w:type="dxa"/>
            <w:shd w:val="clear" w:color="auto" w:fill="FFFFFF"/>
            <w:tcMar>
              <w:top w:w="90" w:type="dxa"/>
              <w:left w:w="120" w:type="dxa"/>
              <w:bottom w:w="90" w:type="dxa"/>
              <w:right w:w="120" w:type="dxa"/>
            </w:tcMar>
          </w:tcPr>
          <w:p w14:paraId="4A96DFBC">
            <w:pPr>
              <w:spacing w:before="0" w:after="0" w:line="264" w:lineRule="auto"/>
            </w:pPr>
            <w:r>
              <w:rPr>
                <w:rFonts w:ascii="Calibri" w:hAnsi="Calibri"/>
                <w:b w:val="0"/>
                <w:i w:val="0"/>
                <w:color w:val="1F2937"/>
                <w:sz w:val="18"/>
              </w:rPr>
              <w:t>Bonificación máxima quincenal por productividad excepcional en bodega.</w:t>
            </w:r>
          </w:p>
        </w:tc>
      </w:tr>
      <w:tr w14:paraId="4D8D54D6">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3120" w:type="dxa"/>
            <w:shd w:val="clear" w:color="auto" w:fill="F8FAFC"/>
            <w:tcMar>
              <w:top w:w="90" w:type="dxa"/>
              <w:left w:w="120" w:type="dxa"/>
              <w:bottom w:w="90" w:type="dxa"/>
              <w:right w:w="120" w:type="dxa"/>
            </w:tcMar>
          </w:tcPr>
          <w:p w14:paraId="4986E367">
            <w:pPr>
              <w:spacing w:before="0" w:after="0" w:line="264" w:lineRule="auto"/>
            </w:pPr>
            <w:r>
              <w:rPr>
                <w:rFonts w:ascii="Calibri" w:hAnsi="Calibri"/>
                <w:b/>
                <w:i w:val="0"/>
                <w:color w:val="1F2937"/>
                <w:sz w:val="18"/>
              </w:rPr>
              <w:t>Fondo Base de Calidad</w:t>
            </w:r>
          </w:p>
        </w:tc>
        <w:tc>
          <w:tcPr>
            <w:tcW w:w="3120" w:type="dxa"/>
            <w:shd w:val="clear" w:color="auto" w:fill="F8FAFC"/>
            <w:tcMar>
              <w:top w:w="90" w:type="dxa"/>
              <w:left w:w="120" w:type="dxa"/>
              <w:bottom w:w="90" w:type="dxa"/>
              <w:right w:w="120" w:type="dxa"/>
            </w:tcMar>
          </w:tcPr>
          <w:p w14:paraId="1C78D995">
            <w:pPr>
              <w:spacing w:before="0" w:after="0" w:line="264" w:lineRule="auto"/>
            </w:pPr>
            <w:r>
              <w:rPr>
                <w:rFonts w:ascii="Calibri" w:hAnsi="Calibri"/>
                <w:b w:val="0"/>
                <w:i w:val="0"/>
                <w:color w:val="1F2937"/>
                <w:sz w:val="18"/>
              </w:rPr>
              <w:t>Quincenal fijo</w:t>
            </w:r>
          </w:p>
        </w:tc>
        <w:tc>
          <w:tcPr>
            <w:tcW w:w="3120" w:type="dxa"/>
            <w:shd w:val="clear" w:color="auto" w:fill="F8FAFC"/>
            <w:tcMar>
              <w:top w:w="90" w:type="dxa"/>
              <w:left w:w="120" w:type="dxa"/>
              <w:bottom w:w="90" w:type="dxa"/>
              <w:right w:w="120" w:type="dxa"/>
            </w:tcMar>
          </w:tcPr>
          <w:p w14:paraId="797F7CFE">
            <w:pPr>
              <w:spacing w:before="0" w:after="0" w:line="264" w:lineRule="auto"/>
            </w:pPr>
            <w:r>
              <w:rPr>
                <w:rFonts w:ascii="Calibri" w:hAnsi="Calibri"/>
                <w:b w:val="0"/>
                <w:i w:val="0"/>
                <w:color w:val="1F2937"/>
                <w:sz w:val="18"/>
              </w:rPr>
              <w:t xml:space="preserve">Reconocimiento a la exactitud en el alistamiento. </w:t>
            </w:r>
            <w:r>
              <w:rPr>
                <w:rFonts w:ascii="Calibri" w:hAnsi="Calibri"/>
                <w:b/>
                <w:i w:val="0"/>
                <w:color w:val="1F2937"/>
                <w:sz w:val="18"/>
              </w:rPr>
              <w:t>Condición obligatoria:</w:t>
            </w:r>
            <w:r>
              <w:rPr>
                <w:rFonts w:ascii="Calibri" w:hAnsi="Calibri"/>
                <w:b w:val="0"/>
                <w:i w:val="0"/>
                <w:color w:val="1F2937"/>
                <w:sz w:val="18"/>
              </w:rPr>
              <w:t xml:space="preserve"> Solo se liquida si el colaborador alcanza la meta base (300 puntos). Si no alcanza la meta, se liquida automáticamente en </w:t>
            </w:r>
            <w:r>
              <w:rPr>
                <w:rFonts w:ascii="Calibri" w:hAnsi="Calibri"/>
                <w:b/>
                <w:i w:val="0"/>
                <w:color w:val="1F2937"/>
                <w:sz w:val="18"/>
              </w:rPr>
              <w:t>$0</w:t>
            </w:r>
            <w:r>
              <w:rPr>
                <w:rFonts w:ascii="Calibri" w:hAnsi="Calibri"/>
                <w:b w:val="0"/>
                <w:i w:val="0"/>
                <w:color w:val="1F2937"/>
                <w:sz w:val="18"/>
              </w:rPr>
              <w:t>.</w:t>
            </w:r>
          </w:p>
        </w:tc>
      </w:tr>
      <w:tr w14:paraId="6D3C39DB">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3120" w:type="dxa"/>
            <w:shd w:val="clear" w:color="auto" w:fill="FFFFFF"/>
            <w:tcMar>
              <w:top w:w="90" w:type="dxa"/>
              <w:left w:w="120" w:type="dxa"/>
              <w:bottom w:w="90" w:type="dxa"/>
              <w:right w:w="120" w:type="dxa"/>
            </w:tcMar>
          </w:tcPr>
          <w:p w14:paraId="719400BC">
            <w:pPr>
              <w:spacing w:before="0" w:after="0" w:line="264" w:lineRule="auto"/>
            </w:pPr>
            <w:r>
              <w:rPr>
                <w:rFonts w:ascii="Calibri" w:hAnsi="Calibri"/>
                <w:b/>
                <w:i w:val="0"/>
                <w:color w:val="1F2937"/>
                <w:sz w:val="18"/>
              </w:rPr>
              <w:t>Castigo por Error</w:t>
            </w:r>
          </w:p>
        </w:tc>
        <w:tc>
          <w:tcPr>
            <w:tcW w:w="3120" w:type="dxa"/>
            <w:shd w:val="clear" w:color="auto" w:fill="FFFFFF"/>
            <w:tcMar>
              <w:top w:w="90" w:type="dxa"/>
              <w:left w:w="120" w:type="dxa"/>
              <w:bottom w:w="90" w:type="dxa"/>
              <w:right w:w="120" w:type="dxa"/>
            </w:tcMar>
          </w:tcPr>
          <w:p w14:paraId="79341CE7">
            <w:pPr>
              <w:spacing w:before="0" w:after="0" w:line="264" w:lineRule="auto"/>
            </w:pPr>
            <w:r>
              <w:rPr>
                <w:rFonts w:ascii="Calibri" w:hAnsi="Calibri"/>
                <w:b w:val="0"/>
                <w:i w:val="0"/>
                <w:color w:val="1F2937"/>
                <w:sz w:val="18"/>
              </w:rPr>
              <w:t>Por cada falta auditada</w:t>
            </w:r>
          </w:p>
        </w:tc>
        <w:tc>
          <w:tcPr>
            <w:tcW w:w="3120" w:type="dxa"/>
            <w:shd w:val="clear" w:color="auto" w:fill="FFFFFF"/>
            <w:tcMar>
              <w:top w:w="90" w:type="dxa"/>
              <w:left w:w="120" w:type="dxa"/>
              <w:bottom w:w="90" w:type="dxa"/>
              <w:right w:w="120" w:type="dxa"/>
            </w:tcMar>
          </w:tcPr>
          <w:p w14:paraId="3A8D3015">
            <w:pPr>
              <w:spacing w:before="0" w:after="0" w:line="264" w:lineRule="auto"/>
            </w:pPr>
            <w:r>
              <w:rPr>
                <w:rFonts w:ascii="Calibri" w:hAnsi="Calibri"/>
                <w:b w:val="0"/>
                <w:i w:val="0"/>
                <w:color w:val="1F2937"/>
                <w:sz w:val="18"/>
              </w:rPr>
              <w:t>Se deduce directamente del Fondo de Calidad según el número de errores registrados en el ciclo quincenal.</w:t>
            </w:r>
          </w:p>
        </w:tc>
      </w:tr>
      <w:tr w14:paraId="5557AD2A">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cantSplit/>
          <w:jc w:val="center"/>
        </w:trPr>
        <w:tc>
          <w:tcPr>
            <w:tcW w:w="3120" w:type="dxa"/>
            <w:shd w:val="clear" w:color="auto" w:fill="F8FAFC"/>
            <w:tcMar>
              <w:top w:w="90" w:type="dxa"/>
              <w:left w:w="120" w:type="dxa"/>
              <w:bottom w:w="90" w:type="dxa"/>
              <w:right w:w="120" w:type="dxa"/>
            </w:tcMar>
          </w:tcPr>
          <w:p w14:paraId="136EC47D">
            <w:pPr>
              <w:spacing w:before="0" w:after="0" w:line="264" w:lineRule="auto"/>
            </w:pPr>
            <w:r>
              <w:rPr>
                <w:rFonts w:ascii="Calibri" w:hAnsi="Calibri"/>
                <w:b/>
                <w:i w:val="0"/>
                <w:color w:val="1F2937"/>
                <w:sz w:val="18"/>
              </w:rPr>
              <w:t>Protección Salarial (Piso $0)</w:t>
            </w:r>
          </w:p>
        </w:tc>
        <w:tc>
          <w:tcPr>
            <w:tcW w:w="3120" w:type="dxa"/>
            <w:shd w:val="clear" w:color="auto" w:fill="F8FAFC"/>
            <w:tcMar>
              <w:top w:w="90" w:type="dxa"/>
              <w:left w:w="120" w:type="dxa"/>
              <w:bottom w:w="90" w:type="dxa"/>
              <w:right w:w="120" w:type="dxa"/>
            </w:tcMar>
          </w:tcPr>
          <w:p w14:paraId="05207F41">
            <w:pPr>
              <w:spacing w:before="0" w:after="0" w:line="264" w:lineRule="auto"/>
            </w:pPr>
            <w:r>
              <w:rPr>
                <w:rFonts w:ascii="Calibri" w:hAnsi="Calibri"/>
                <w:b/>
                <w:i w:val="0"/>
                <w:color w:val="1F2937"/>
                <w:sz w:val="18"/>
              </w:rPr>
              <w:t>$0 mínimo</w:t>
            </w:r>
          </w:p>
        </w:tc>
        <w:tc>
          <w:tcPr>
            <w:tcW w:w="3120" w:type="dxa"/>
            <w:shd w:val="clear" w:color="auto" w:fill="F8FAFC"/>
            <w:tcMar>
              <w:top w:w="90" w:type="dxa"/>
              <w:left w:w="120" w:type="dxa"/>
              <w:bottom w:w="90" w:type="dxa"/>
              <w:right w:w="120" w:type="dxa"/>
            </w:tcMar>
          </w:tcPr>
          <w:p w14:paraId="50CB650F">
            <w:pPr>
              <w:spacing w:before="0" w:after="0" w:line="264" w:lineRule="auto"/>
            </w:pPr>
            <w:r>
              <w:rPr>
                <w:rFonts w:ascii="Calibri" w:hAnsi="Calibri"/>
                <w:b w:val="0"/>
                <w:i w:val="0"/>
                <w:color w:val="1F2937"/>
                <w:sz w:val="18"/>
              </w:rPr>
              <w:t>Los errores y penalizaciones nunca generan saldos negativos ni se descuentan del salario base ni de los bonos de productividad ganados.</w:t>
            </w:r>
          </w:p>
        </w:tc>
      </w:tr>
    </w:tbl>
    <w:p w14:paraId="428AE6E0">
      <w:pPr>
        <w:rPr>
          <w:rFonts w:ascii="Calibri" w:hAnsi="Calibri"/>
          <w:b/>
          <w:color w:val="1E293B"/>
          <w:sz w:val="30"/>
        </w:rPr>
      </w:pPr>
    </w:p>
    <w:p w14:paraId="59A7E8CC">
      <w:pPr>
        <w:rPr>
          <w:rFonts w:ascii="Calibri" w:hAnsi="Calibri"/>
          <w:b/>
          <w:color w:val="1E293B"/>
          <w:sz w:val="30"/>
        </w:rPr>
      </w:pPr>
      <w:r>
        <w:rPr>
          <w:rFonts w:ascii="Calibri" w:hAnsi="Calibri"/>
          <w:b/>
          <w:color w:val="1E293B"/>
          <w:sz w:val="30"/>
        </w:rPr>
        <w:br w:type="page"/>
      </w:r>
    </w:p>
    <w:p w14:paraId="5E2CDDCC">
      <w:pPr>
        <w:spacing w:before="0" w:after="100" w:line="276" w:lineRule="auto"/>
      </w:pPr>
      <w:bookmarkStart w:id="24" w:name="_GoBack"/>
      <w:bookmarkEnd w:id="24"/>
      <w:r>
        <w:rPr>
          <w:rFonts w:ascii="Calibri" w:hAnsi="Calibri"/>
          <w:b/>
          <w:color w:val="1E293B"/>
          <w:sz w:val="30"/>
        </w:rPr>
        <w:t>7. Preguntas Frecuentes y Protocolos de Incidencias Operativas</w:t>
      </w:r>
      <w:bookmarkEnd w:id="19"/>
    </w:p>
    <w:p w14:paraId="1CA672E6">
      <w:pPr>
        <w:pStyle w:val="3"/>
        <w:keepNext/>
        <w:spacing w:before="240" w:after="80"/>
      </w:pPr>
      <w:bookmarkStart w:id="20" w:name="_Toc25889"/>
      <w:r>
        <w:rPr>
          <w:rFonts w:ascii="Calibri" w:hAnsi="Calibri"/>
          <w:b/>
          <w:color w:val="334155"/>
          <w:sz w:val="25"/>
        </w:rPr>
        <w:t>¿Qué ocurre si la bodega pierde la conexión a Internet o WiFi?</w:t>
      </w:r>
      <w:bookmarkEnd w:id="20"/>
    </w:p>
    <w:p w14:paraId="21946D80">
      <w:pPr>
        <w:spacing w:before="0" w:after="100" w:line="276" w:lineRule="auto"/>
      </w:pPr>
      <w:r>
        <w:rPr>
          <w:rFonts w:ascii="Calibri" w:hAnsi="Calibri"/>
          <w:b w:val="0"/>
          <w:i w:val="0"/>
          <w:color w:val="1F2937"/>
          <w:sz w:val="21"/>
        </w:rPr>
        <w:t>El aplicativo continúa funcionando con total normalidad en modo sin conexión (offline). Todos los despachos registrados se almacenan en la memoria local del dispositivo móvil. En cuanto el teléfono retoma la señal, el orquestador en la nube sincroniza automáticamente las órdenes con la base de datos central sin pérdida de datos.</w:t>
      </w:r>
    </w:p>
    <w:p w14:paraId="6CC5F5D7">
      <w:pPr>
        <w:pStyle w:val="3"/>
        <w:keepNext/>
        <w:spacing w:before="240" w:after="80"/>
      </w:pPr>
      <w:bookmarkStart w:id="21" w:name="_Toc32108"/>
      <w:r>
        <w:rPr>
          <w:rFonts w:ascii="Calibri" w:hAnsi="Calibri"/>
          <w:b/>
          <w:color w:val="334155"/>
          <w:sz w:val="25"/>
        </w:rPr>
        <w:t>¿Qué se debe hacer si se detecta un error en un despacho después de los 15 minutos?</w:t>
      </w:r>
      <w:bookmarkEnd w:id="21"/>
    </w:p>
    <w:p w14:paraId="6684FC92">
      <w:pPr>
        <w:spacing w:before="0" w:after="100" w:line="276" w:lineRule="auto"/>
      </w:pPr>
      <w:r>
        <w:rPr>
          <w:rFonts w:ascii="Calibri" w:hAnsi="Calibri"/>
          <w:b w:val="0"/>
          <w:i w:val="0"/>
          <w:color w:val="1F2937"/>
          <w:sz w:val="21"/>
        </w:rPr>
        <w:t>Por estrictas políticas de auditoría, el sistema bloquea la edición local pasados 15 minutos. El despachador debe informar a la Jefatura de Bodega o al Administrador del Sistema, adjuntando la copia física del comprobante. Únicamente el administrador tiene autorización para corregir el registro directamente en la base de datos central.</w:t>
      </w:r>
    </w:p>
    <w:p w14:paraId="0D6468AF">
      <w:pPr>
        <w:pStyle w:val="3"/>
        <w:keepNext/>
        <w:spacing w:before="240" w:after="80"/>
      </w:pPr>
      <w:bookmarkStart w:id="22" w:name="_Toc27208"/>
      <w:r>
        <w:rPr>
          <w:rFonts w:ascii="Calibri" w:hAnsi="Calibri"/>
          <w:b/>
          <w:color w:val="334155"/>
          <w:sz w:val="25"/>
        </w:rPr>
        <w:t>¿Por qué un auxiliar no aparece en la tabla quincenal o figura con Total BONO $0?</w:t>
      </w:r>
      <w:bookmarkEnd w:id="22"/>
    </w:p>
    <w:p w14:paraId="2771A107">
      <w:pPr>
        <w:pStyle w:val="31"/>
        <w:spacing w:before="0" w:after="50" w:line="276" w:lineRule="auto"/>
        <w:ind w:left="360"/>
      </w:pPr>
      <w:r>
        <w:rPr>
          <w:rFonts w:ascii="Calibri" w:hAnsi="Calibri"/>
          <w:b w:val="0"/>
          <w:i w:val="0"/>
          <w:color w:val="1F2937"/>
          <w:sz w:val="21"/>
        </w:rPr>
        <w:t>Si un auxiliar estuvo de permiso, incapacidad o no registró despachos en la quincena, no figurará en la matriz quincenal calculada por el motor.</w:t>
      </w:r>
    </w:p>
    <w:p w14:paraId="7FBDD22C">
      <w:pPr>
        <w:pStyle w:val="31"/>
        <w:spacing w:before="0" w:after="50" w:line="276" w:lineRule="auto"/>
        <w:ind w:left="360"/>
      </w:pPr>
      <w:r>
        <w:rPr>
          <w:rFonts w:ascii="Calibri" w:hAnsi="Calibri"/>
          <w:b w:val="0"/>
          <w:i w:val="0"/>
          <w:color w:val="1F2937"/>
          <w:sz w:val="21"/>
        </w:rPr>
        <w:t xml:space="preserve">Si el colaborador acumuló menos de 300 puntos de esfuerzo en la quincena, su desempeño está amparado bajo el salario ordinario y el sistema liquidará </w:t>
      </w:r>
      <w:r>
        <w:rPr>
          <w:rFonts w:ascii="Consolas" w:hAnsi="Consolas"/>
          <w:b w:val="0"/>
          <w:i w:val="0"/>
          <w:color w:val="0F172A"/>
          <w:sz w:val="18"/>
        </w:rPr>
        <w:t>$0</w:t>
      </w:r>
      <w:r>
        <w:rPr>
          <w:rFonts w:ascii="Calibri" w:hAnsi="Calibri"/>
          <w:b w:val="0"/>
          <w:i w:val="0"/>
          <w:color w:val="1F2937"/>
          <w:sz w:val="21"/>
        </w:rPr>
        <w:t xml:space="preserve"> en bonos productivos y de calidad.</w:t>
      </w:r>
    </w:p>
    <w:p w14:paraId="6AD1F27C">
      <w:pPr>
        <w:pStyle w:val="3"/>
        <w:keepNext/>
        <w:spacing w:before="240" w:after="80"/>
      </w:pPr>
      <w:bookmarkStart w:id="23" w:name="_Toc1258"/>
      <w:r>
        <w:rPr>
          <w:rFonts w:ascii="Calibri" w:hAnsi="Calibri"/>
          <w:b/>
          <w:color w:val="334155"/>
          <w:sz w:val="25"/>
        </w:rPr>
        <w:t>¿Dónde solicitar soporte técnico?</w:t>
      </w:r>
      <w:bookmarkEnd w:id="23"/>
    </w:p>
    <w:p w14:paraId="11CA1CC5">
      <w:pPr>
        <w:spacing w:before="0" w:after="100" w:line="276" w:lineRule="auto"/>
      </w:pPr>
      <w:r>
        <w:rPr>
          <w:rFonts w:ascii="Calibri" w:hAnsi="Calibri"/>
          <w:b w:val="0"/>
          <w:i w:val="0"/>
          <w:color w:val="1F2937"/>
          <w:sz w:val="21"/>
        </w:rPr>
        <w:t>Para soporte de conectividad, cambio de terminales móviles, restablecimiento de accesos o dudas sobre la liquidación de puntos, comuníquese con el Departamento de Sistemas de Intereléctricos Group SAS a través del canal corporativo oficial.</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77F77">
    <w:pPr>
      <w:pStyle w:val="33"/>
      <w:pBdr>
        <w:top w:val="single" w:color="CBD5E1" w:sz="4" w:space="4"/>
      </w:pBdr>
      <w:spacing w:before="80"/>
      <w:jc w:val="right"/>
    </w:pPr>
    <w:r>
      <w:rPr>
        <w:rFonts w:ascii="Calibri" w:hAnsi="Calibri"/>
        <w:color w:val="64748B"/>
        <w:sz w:val="17"/>
      </w:rPr>
      <w:t xml:space="preserve">Manual de Usuario Operativo  •  Página </w:t>
    </w:r>
    <w:r>
      <w:fldChar w:fldCharType="begin"/>
    </w:r>
    <w:r>
      <w:instrText xml:space="preserve">PAGE</w:instrText>
    </w:r>
    <w:r>
      <w:fldChar w:fldCharType="separate"/>
    </w:r>
    <w:r>
      <w:rPr>
        <w:rFonts w:ascii="Calibri" w:hAnsi="Calibri"/>
        <w:color w:val="64748B"/>
        <w:sz w:val="17"/>
      </w:rPr>
      <w:t>1</w:t>
    </w:r>
    <w:r>
      <w:rPr>
        <w:rFonts w:ascii="Calibri" w:hAnsi="Calibri"/>
        <w:color w:val="64748B"/>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85613">
    <w:pPr>
      <w:pStyle w:val="25"/>
      <w:pBdr>
        <w:bottom w:val="single" w:color="CBD5E1" w:sz="4" w:space="4"/>
      </w:pBdr>
      <w:spacing w:after="80"/>
      <w:jc w:val="right"/>
    </w:pPr>
    <w:r>
      <w:rPr>
        <w:rFonts w:ascii="Calibri" w:hAnsi="Calibri"/>
        <w:color w:val="64748B"/>
        <w:sz w:val="17"/>
      </w:rPr>
      <w:t>Intereléctricos — Sistema de Bonificaciones Bodega | Manual de Usuario Operativo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6"/>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2"/>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1"/>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E44A63"/>
    <w:rsid w:val="2FAD4648"/>
    <w:rsid w:val="3BDF37C8"/>
    <w:rsid w:val="6B8076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Calibri" w:hAnsi="Calibri" w:eastAsiaTheme="minorEastAsia" w:cstheme="minorBidi"/>
      <w:color w:val="1F2937"/>
      <w:sz w:val="21"/>
      <w:szCs w:val="22"/>
      <w:lang w:val="en-US" w:eastAsia="en-US" w:bidi="ar-SA"/>
    </w:rPr>
  </w:style>
  <w:style w:type="paragraph" w:styleId="2">
    <w:name w:val="heading 1"/>
    <w:basedOn w:val="1"/>
    <w:next w:val="1"/>
    <w:link w:val="42"/>
    <w:qFormat/>
    <w:uiPriority w:val="9"/>
    <w:pPr>
      <w:keepNext/>
      <w:keepLines/>
      <w:spacing w:before="320" w:after="120"/>
      <w:outlineLvl w:val="0"/>
    </w:pPr>
    <w:rPr>
      <w:rFonts w:asciiTheme="majorHAnsi" w:hAnsiTheme="majorHAnsi" w:eastAsiaTheme="majorEastAsia" w:cstheme="majorBidi"/>
      <w:b/>
      <w:bCs/>
      <w:color w:val="1E293B"/>
      <w:sz w:val="30"/>
      <w:szCs w:val="28"/>
    </w:rPr>
  </w:style>
  <w:style w:type="paragraph" w:styleId="3">
    <w:name w:val="heading 2"/>
    <w:basedOn w:val="1"/>
    <w:next w:val="1"/>
    <w:link w:val="43"/>
    <w:unhideWhenUsed/>
    <w:qFormat/>
    <w:uiPriority w:val="9"/>
    <w:pPr>
      <w:keepNext/>
      <w:keepLines/>
      <w:spacing w:before="240" w:after="80"/>
      <w:outlineLvl w:val="1"/>
    </w:pPr>
    <w:rPr>
      <w:rFonts w:asciiTheme="majorHAnsi" w:hAnsiTheme="majorHAnsi" w:eastAsiaTheme="majorEastAsia" w:cstheme="majorBidi"/>
      <w:b/>
      <w:bCs/>
      <w:color w:val="334155"/>
      <w:sz w:val="25"/>
      <w:szCs w:val="26"/>
    </w:rPr>
  </w:style>
  <w:style w:type="paragraph" w:styleId="4">
    <w:name w:val="heading 3"/>
    <w:basedOn w:val="1"/>
    <w:next w:val="1"/>
    <w:link w:val="44"/>
    <w:unhideWhenUsed/>
    <w:qFormat/>
    <w:uiPriority w:val="9"/>
    <w:pPr>
      <w:keepNext/>
      <w:keepLines/>
      <w:spacing w:before="200" w:after="60"/>
      <w:outlineLvl w:val="2"/>
    </w:pPr>
    <w:rPr>
      <w:rFonts w:asciiTheme="majorHAnsi" w:hAnsiTheme="majorHAnsi" w:eastAsiaTheme="majorEastAsia" w:cstheme="majorBidi"/>
      <w:b/>
      <w:bCs/>
      <w:color w:val="374151"/>
      <w:sz w:val="23"/>
    </w:rPr>
  </w:style>
  <w:style w:type="paragraph" w:styleId="5">
    <w:name w:val="heading 4"/>
    <w:basedOn w:val="1"/>
    <w:next w:val="1"/>
    <w:link w:val="54"/>
    <w:semiHidden/>
    <w:unhideWhenUsed/>
    <w:qFormat/>
    <w:uiPriority w:val="9"/>
    <w:pPr>
      <w:keepNext/>
      <w:keepLines/>
      <w:spacing w:before="160" w:after="40"/>
      <w:outlineLvl w:val="3"/>
    </w:pPr>
    <w:rPr>
      <w:rFonts w:asciiTheme="majorHAnsi" w:hAnsiTheme="majorHAnsi" w:eastAsiaTheme="majorEastAsia" w:cstheme="majorBidi"/>
      <w:b/>
      <w:bCs/>
      <w:i/>
      <w:iCs/>
      <w:color w:val="475569"/>
      <w:sz w:val="21"/>
    </w:rPr>
  </w:style>
  <w:style w:type="paragraph" w:styleId="6">
    <w:name w:val="heading 5"/>
    <w:basedOn w:val="1"/>
    <w:next w:val="1"/>
    <w:link w:val="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toc 1"/>
    <w:basedOn w:val="1"/>
    <w:next w:val="1"/>
    <w:semiHidden/>
    <w:unhideWhenUsed/>
    <w:uiPriority w:val="39"/>
  </w:style>
  <w:style w:type="paragraph" w:styleId="18">
    <w:name w:val="toc 2"/>
    <w:basedOn w:val="1"/>
    <w:next w:val="1"/>
    <w:semiHidden/>
    <w:unhideWhenUsed/>
    <w:uiPriority w:val="39"/>
    <w:pPr>
      <w:ind w:left="420" w:leftChars="200"/>
    </w:pPr>
  </w:style>
  <w:style w:type="paragraph" w:styleId="19">
    <w:name w:val="macro"/>
    <w:link w:val="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0">
    <w:name w:val="List Continue 3"/>
    <w:basedOn w:val="1"/>
    <w:unhideWhenUsed/>
    <w:uiPriority w:val="99"/>
    <w:pPr>
      <w:spacing w:after="120"/>
      <w:ind w:left="1080"/>
      <w:contextualSpacing/>
    </w:pPr>
  </w:style>
  <w:style w:type="paragraph" w:styleId="21">
    <w:name w:val="List Continue"/>
    <w:basedOn w:val="1"/>
    <w:unhideWhenUsed/>
    <w:uiPriority w:val="99"/>
    <w:pPr>
      <w:spacing w:after="120"/>
      <w:ind w:left="360"/>
      <w:contextualSpacing/>
    </w:pPr>
  </w:style>
  <w:style w:type="paragraph" w:styleId="22">
    <w:name w:val="Body Text 2"/>
    <w:basedOn w:val="1"/>
    <w:link w:val="49"/>
    <w:unhideWhenUsed/>
    <w:qFormat/>
    <w:uiPriority w:val="99"/>
    <w:pPr>
      <w:spacing w:after="120" w:line="480" w:lineRule="auto"/>
    </w:pPr>
  </w:style>
  <w:style w:type="paragraph" w:styleId="23">
    <w:name w:val="List 3"/>
    <w:basedOn w:val="1"/>
    <w:unhideWhenUsed/>
    <w:uiPriority w:val="99"/>
    <w:pPr>
      <w:ind w:left="1080" w:hanging="360"/>
      <w:contextualSpacing/>
    </w:pPr>
  </w:style>
  <w:style w:type="paragraph" w:styleId="24">
    <w:name w:val="List Number 2"/>
    <w:basedOn w:val="1"/>
    <w:unhideWhenUsed/>
    <w:uiPriority w:val="99"/>
    <w:pPr>
      <w:numPr>
        <w:ilvl w:val="0"/>
        <w:numId w:val="1"/>
      </w:numPr>
      <w:contextualSpacing/>
    </w:pPr>
  </w:style>
  <w:style w:type="paragraph" w:styleId="25">
    <w:name w:val="header"/>
    <w:basedOn w:val="1"/>
    <w:link w:val="39"/>
    <w:unhideWhenUsed/>
    <w:qFormat/>
    <w:uiPriority w:val="99"/>
    <w:pPr>
      <w:tabs>
        <w:tab w:val="center" w:pos="4680"/>
        <w:tab w:val="right" w:pos="9360"/>
      </w:tabs>
      <w:spacing w:after="0" w:line="240" w:lineRule="auto"/>
    </w:pPr>
  </w:style>
  <w:style w:type="paragraph" w:styleId="26">
    <w:name w:val="List Number 3"/>
    <w:basedOn w:val="1"/>
    <w:unhideWhenUsed/>
    <w:uiPriority w:val="99"/>
    <w:pPr>
      <w:numPr>
        <w:ilvl w:val="0"/>
        <w:numId w:val="2"/>
      </w:numPr>
      <w:contextualSpacing/>
    </w:pPr>
  </w:style>
  <w:style w:type="paragraph" w:styleId="27">
    <w:name w:val="List Number"/>
    <w:basedOn w:val="1"/>
    <w:unhideWhenUsed/>
    <w:uiPriority w:val="99"/>
    <w:pPr>
      <w:numPr>
        <w:ilvl w:val="0"/>
        <w:numId w:val="3"/>
      </w:numPr>
      <w:contextualSpacing/>
    </w:pPr>
  </w:style>
  <w:style w:type="paragraph" w:styleId="28">
    <w:name w:val="List 2"/>
    <w:basedOn w:val="1"/>
    <w:unhideWhenUsed/>
    <w:uiPriority w:val="99"/>
    <w:pPr>
      <w:ind w:left="720" w:hanging="360"/>
      <w:contextualSpacing/>
    </w:pPr>
  </w:style>
  <w:style w:type="paragraph" w:styleId="29">
    <w:name w:val="List Bullet 3"/>
    <w:basedOn w:val="1"/>
    <w:unhideWhenUsed/>
    <w:uiPriority w:val="99"/>
    <w:pPr>
      <w:numPr>
        <w:ilvl w:val="0"/>
        <w:numId w:val="4"/>
      </w:numPr>
      <w:contextualSpacing/>
    </w:pPr>
  </w:style>
  <w:style w:type="paragraph" w:styleId="30">
    <w:name w:val="List"/>
    <w:basedOn w:val="1"/>
    <w:unhideWhenUsed/>
    <w:uiPriority w:val="99"/>
    <w:pPr>
      <w:ind w:left="360" w:hanging="360"/>
      <w:contextualSpacing/>
    </w:pPr>
  </w:style>
  <w:style w:type="paragraph" w:styleId="31">
    <w:name w:val="List Bullet"/>
    <w:basedOn w:val="1"/>
    <w:unhideWhenUsed/>
    <w:uiPriority w:val="99"/>
    <w:pPr>
      <w:numPr>
        <w:ilvl w:val="0"/>
        <w:numId w:val="5"/>
      </w:numPr>
      <w:spacing w:after="50" w:line="276" w:lineRule="auto"/>
      <w:contextualSpacing/>
    </w:pPr>
    <w:rPr>
      <w:rFonts w:ascii="Calibri" w:hAnsi="Calibri"/>
      <w:color w:val="1F2937"/>
      <w:sz w:val="21"/>
    </w:rPr>
  </w:style>
  <w:style w:type="paragraph" w:styleId="32">
    <w:name w:val="List Bullet 2"/>
    <w:basedOn w:val="1"/>
    <w:unhideWhenUsed/>
    <w:uiPriority w:val="99"/>
    <w:pPr>
      <w:numPr>
        <w:ilvl w:val="0"/>
        <w:numId w:val="6"/>
      </w:numPr>
      <w:contextualSpacing/>
    </w:pPr>
  </w:style>
  <w:style w:type="paragraph" w:styleId="33">
    <w:name w:val="footer"/>
    <w:basedOn w:val="1"/>
    <w:link w:val="40"/>
    <w:unhideWhenUsed/>
    <w:qFormat/>
    <w:uiPriority w:val="99"/>
    <w:pPr>
      <w:tabs>
        <w:tab w:val="center" w:pos="4680"/>
        <w:tab w:val="right" w:pos="9360"/>
      </w:tabs>
      <w:spacing w:after="0" w:line="240" w:lineRule="auto"/>
    </w:pPr>
  </w:style>
  <w:style w:type="paragraph" w:styleId="34">
    <w:name w:val="Subtitle"/>
    <w:basedOn w:val="1"/>
    <w:next w:val="1"/>
    <w:link w:val="46"/>
    <w:qFormat/>
    <w:uiPriority w:val="11"/>
    <w:rPr>
      <w:rFonts w:asciiTheme="majorHAnsi" w:hAnsiTheme="majorHAnsi" w:eastAsiaTheme="majorEastAsia" w:cstheme="majorBidi"/>
      <w:i/>
      <w:iCs/>
      <w:color w:val="475569"/>
      <w:spacing w:val="15"/>
      <w:sz w:val="24"/>
      <w:szCs w:val="24"/>
    </w:rPr>
  </w:style>
  <w:style w:type="paragraph" w:styleId="35">
    <w:name w:val="Body Text"/>
    <w:basedOn w:val="1"/>
    <w:link w:val="48"/>
    <w:unhideWhenUsed/>
    <w:uiPriority w:val="99"/>
    <w:pPr>
      <w:spacing w:after="120"/>
    </w:pPr>
  </w:style>
  <w:style w:type="paragraph" w:styleId="36">
    <w:name w:val="Body Text 3"/>
    <w:basedOn w:val="1"/>
    <w:link w:val="50"/>
    <w:unhideWhenUsed/>
    <w:uiPriority w:val="99"/>
    <w:pPr>
      <w:spacing w:after="120"/>
    </w:pPr>
    <w:rPr>
      <w:sz w:val="16"/>
      <w:szCs w:val="16"/>
    </w:rPr>
  </w:style>
  <w:style w:type="paragraph" w:styleId="37">
    <w:name w:val="Title"/>
    <w:basedOn w:val="1"/>
    <w:next w:val="1"/>
    <w:link w:val="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E293B"/>
      <w:spacing w:val="5"/>
      <w:kern w:val="28"/>
      <w:sz w:val="48"/>
      <w:szCs w:val="52"/>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9">
    <w:name w:val="Header Char"/>
    <w:basedOn w:val="11"/>
    <w:link w:val="25"/>
    <w:qFormat/>
    <w:uiPriority w:val="99"/>
  </w:style>
  <w:style w:type="character" w:customStyle="1" w:styleId="40">
    <w:name w:val="Footer Char"/>
    <w:basedOn w:val="11"/>
    <w:link w:val="33"/>
    <w:qFormat/>
    <w:uiPriority w:val="99"/>
  </w:style>
  <w:style w:type="paragraph" w:styleId="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5">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6">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7">
    <w:name w:val="List Paragraph"/>
    <w:basedOn w:val="1"/>
    <w:qFormat/>
    <w:uiPriority w:val="34"/>
    <w:pPr>
      <w:ind w:left="720"/>
      <w:contextualSpacing/>
    </w:pPr>
  </w:style>
  <w:style w:type="character" w:customStyle="1" w:styleId="48">
    <w:name w:val="Body Text Char"/>
    <w:basedOn w:val="11"/>
    <w:link w:val="35"/>
    <w:qFormat/>
    <w:uiPriority w:val="99"/>
  </w:style>
  <w:style w:type="character" w:customStyle="1" w:styleId="49">
    <w:name w:val="Body Text 2 Char"/>
    <w:basedOn w:val="11"/>
    <w:link w:val="22"/>
    <w:qFormat/>
    <w:uiPriority w:val="99"/>
  </w:style>
  <w:style w:type="character" w:customStyle="1" w:styleId="50">
    <w:name w:val="Body Text 3 Char"/>
    <w:basedOn w:val="11"/>
    <w:link w:val="36"/>
    <w:uiPriority w:val="99"/>
    <w:rPr>
      <w:sz w:val="16"/>
      <w:szCs w:val="16"/>
    </w:rPr>
  </w:style>
  <w:style w:type="character" w:customStyle="1" w:styleId="51">
    <w:name w:val="Macro Text Char"/>
    <w:basedOn w:val="11"/>
    <w:link w:val="19"/>
    <w:uiPriority w:val="99"/>
    <w:rPr>
      <w:rFonts w:ascii="Courier" w:hAnsi="Courier"/>
      <w:sz w:val="20"/>
      <w:szCs w:val="20"/>
    </w:rPr>
  </w:style>
  <w:style w:type="paragraph" w:styleId="52">
    <w:name w:val="Quote"/>
    <w:basedOn w:val="1"/>
    <w:next w:val="1"/>
    <w:link w:val="53"/>
    <w:qFormat/>
    <w:uiPriority w:val="29"/>
    <w:rPr>
      <w:i/>
      <w:iCs/>
      <w:color w:val="000000" w:themeColor="text1"/>
      <w14:textFill>
        <w14:solidFill>
          <w14:schemeClr w14:val="tx1"/>
        </w14:solidFill>
      </w14:textFill>
    </w:rPr>
  </w:style>
  <w:style w:type="character" w:customStyle="1" w:styleId="53">
    <w:name w:val="Quote Char"/>
    <w:basedOn w:val="11"/>
    <w:link w:val="52"/>
    <w:uiPriority w:val="29"/>
    <w:rPr>
      <w:i/>
      <w:iCs/>
      <w:color w:val="000000" w:themeColor="text1"/>
      <w14:textFill>
        <w14:solidFill>
          <w14:schemeClr w14:val="tx1"/>
        </w14:solidFill>
      </w14:textFill>
    </w:rPr>
  </w:style>
  <w:style w:type="character" w:customStyle="1" w:styleId="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0">
    <w:name w:val="Intense Quote"/>
    <w:basedOn w:val="1"/>
    <w:next w:val="1"/>
    <w:link w:val="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1">
    <w:name w:val="Intense Quote Char"/>
    <w:basedOn w:val="11"/>
    <w:link w:val="60"/>
    <w:qFormat/>
    <w:uiPriority w:val="30"/>
    <w:rPr>
      <w:b/>
      <w:bCs/>
      <w:i/>
      <w:iCs/>
      <w:color w:val="4F81BD" w:themeColor="accent1"/>
      <w14:textFill>
        <w14:solidFill>
          <w14:schemeClr w14:val="accent1"/>
        </w14:solidFill>
      </w14:textFill>
    </w:rPr>
  </w:style>
  <w:style w:type="character" w:customStyle="1" w:styleId="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3">
    <w:name w:val="Intense Emphasis"/>
    <w:basedOn w:val="11"/>
    <w:qFormat/>
    <w:uiPriority w:val="21"/>
    <w:rPr>
      <w:b/>
      <w:bCs/>
      <w:i/>
      <w:iCs/>
      <w:color w:val="4F81BD" w:themeColor="accent1"/>
      <w14:textFill>
        <w14:solidFill>
          <w14:schemeClr w14:val="accent1"/>
        </w14:solidFill>
      </w14:textFill>
    </w:rPr>
  </w:style>
  <w:style w:type="character" w:customStyle="1" w:styleId="64">
    <w:name w:val="Subtle Reference"/>
    <w:basedOn w:val="11"/>
    <w:qFormat/>
    <w:uiPriority w:val="31"/>
    <w:rPr>
      <w:smallCaps/>
      <w:color w:val="C0504D" w:themeColor="accent2"/>
      <w:u w:val="single"/>
      <w14:textFill>
        <w14:solidFill>
          <w14:schemeClr w14:val="accent2"/>
        </w14:solidFill>
      </w14:textFill>
    </w:rPr>
  </w:style>
  <w:style w:type="character" w:customStyle="1" w:styleId="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6">
    <w:name w:val="Book Title"/>
    <w:basedOn w:val="11"/>
    <w:qFormat/>
    <w:uiPriority w:val="33"/>
    <w:rPr>
      <w:b/>
      <w:bCs/>
      <w:smallCaps/>
      <w:spacing w:val="5"/>
    </w:rPr>
  </w:style>
  <w:style w:type="paragraph" w:customStyle="1" w:styleId="67">
    <w:name w:val="TOC Heading"/>
    <w:basedOn w:val="2"/>
    <w:next w:val="1"/>
    <w:semiHidden/>
    <w:unhideWhenUsed/>
    <w:qFormat/>
    <w:uiPriority w:val="39"/>
    <w:pPr>
      <w:keepNext/>
      <w:spacing w:before="160" w:after="280"/>
      <w:outlineLvl w:val="9"/>
    </w:pPr>
    <w:rPr>
      <w:rFonts w:ascii="Calibri" w:hAnsi="Calibri"/>
      <w:color w:val="1E293B"/>
      <w:sz w:val="30"/>
    </w:rPr>
  </w:style>
  <w:style w:type="table" w:styleId="6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3076</Words>
  <Characters>17513</Characters>
  <Lines>0</Lines>
  <Paragraphs>0</Paragraphs>
  <TotalTime>2</TotalTime>
  <ScaleCrop>false</ScaleCrop>
  <LinksUpToDate>false</LinksUpToDate>
  <CharactersWithSpaces>20373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Mauro Sierra</cp:lastModifiedBy>
  <dcterms:modified xsi:type="dcterms:W3CDTF">2026-10-29T22:24:13Z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eyJoZGlkIjoiOTUwMzE2ZDJhMTIwYjViYzI2MTFhNWMxNGUwN2ZjYWYiLCJ1c2VySWQiOiIyMTk5MDI5MTI5MTY4In0=</vt:lpwstr>
  </property>
  <property fmtid="{D5CDD505-2E9C-101B-9397-08002B2CF9AE}" pid="3" name="KSOProductBuildVer">
    <vt:lpwstr>2058-12.1.0.29162</vt:lpwstr>
  </property>
  <property fmtid="{D5CDD505-2E9C-101B-9397-08002B2CF9AE}" pid="4" name="ICV">
    <vt:lpwstr>D6D4B27218EB4C85A8DDD499BD6CC19C_12</vt:lpwstr>
  </property>
</Properties>
</file>