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090"/>
        <w:gridCol w:w="5190"/>
      </w:tblGrid>
      <w:tr>
        <w:trPr>
          <w:trHeight w:val="1" w:hRule="atLeast"/>
          <w:jc w:val="left"/>
        </w:trPr>
        <w:tc>
          <w:tcPr>
            <w:tcW w:w="50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Генеральному прокурору РФ</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Краснову Игорю Викторовичу</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ул. Большая Дмитровка, д. 15а, строен. 1, Москва, Россия, ГСП-3, 125993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FFFF00" w:val="clear"/>
              </w:rPr>
              <w:t xml:space="preserve">либо по желанию через интернет приемную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00" w:val="clear"/>
                </w:rPr>
                <w:t xml:space="preserve">https://epp.genproc.gov.ru/web/gprf/internet-reception</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Руководителю АО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Мосводоканал</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Пономаренко Александру Михайловичу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105005 </w:t>
            </w:r>
            <w:r>
              <w:rPr>
                <w:rFonts w:ascii="Times New Roman" w:hAnsi="Times New Roman" w:cs="Times New Roman" w:eastAsia="Times New Roman"/>
                <w:color w:val="auto"/>
                <w:spacing w:val="0"/>
                <w:position w:val="0"/>
                <w:sz w:val="24"/>
                <w:shd w:fill="auto" w:val="clear"/>
              </w:rPr>
              <w:t xml:space="preserve">Москва, Плетешковский переулок,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post@mosvodokanal.ru</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От ФИО</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Адрес или e-mail:</w:t>
            </w:r>
          </w:p>
          <w:p>
            <w:pPr>
              <w:spacing w:before="0" w:after="0" w:line="240"/>
              <w:ind w:right="0" w:left="0" w:firstLine="0"/>
              <w:jc w:val="left"/>
              <w:rPr>
                <w:spacing w:val="0"/>
                <w:position w:val="0"/>
              </w:rPr>
            </w:pPr>
          </w:p>
        </w:tc>
      </w:tr>
    </w:tbl>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ЖАЛОБА</w:t>
      </w:r>
    </w:p>
    <w:p>
      <w:pPr>
        <w:spacing w:before="0" w:after="0" w:line="240"/>
        <w:ind w:right="0" w:left="-284" w:firstLine="7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17 </w:t>
      </w:r>
      <w:r>
        <w:rPr>
          <w:rFonts w:ascii="Times New Roman" w:hAnsi="Times New Roman" w:cs="Times New Roman" w:eastAsia="Times New Roman"/>
          <w:color w:val="000000"/>
          <w:spacing w:val="0"/>
          <w:position w:val="0"/>
          <w:sz w:val="24"/>
          <w:shd w:fill="auto" w:val="clear"/>
        </w:rPr>
        <w:t xml:space="preserve">декабря 2020 года, стало известно, что обучающихся и работников</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Мосводоканал</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обязывают пройти вакцинации против новой коронавирусной инфекции (COVID-19) под угрозой увольнения (лишения премий, недопуска к рабочему месту и проставления прогула, увольнения, прочие варианты), о чем предупредили сотрудников на совещании.</w:t>
      </w:r>
    </w:p>
    <w:p>
      <w:pPr>
        <w:spacing w:before="0" w:after="0" w:line="240"/>
        <w:ind w:right="0" w:left="-284" w:firstLine="426"/>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 настоящее время все вакцины против новой коронавирусной инфекции (COVID-19) находятся на разных стадиях исследований, вакцина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Спутник-V</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стадии прохождения  пострегистрационного исследования.  При регистрации данной вакцины и исследовании других  был нарушен обычный порядок и сроки, пропущены важные этапы проведения клинических исследований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они не исследованы надлежащим образом. Вакцинация такими вакцинами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рискованный и небезопасный медицинский эксперимент. Долгосрочная эффективность данных препаратов также не подтверждена. </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 пп.4.1.7. Санитарных правил СП 3.3.2.561-96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Медицинское иммунобиологические препараты. Государственные испытания и регистрация новых медицинских иммунобиологических препаратов</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сказано, что государственная регистрация МИБП (включая вакцины) осуществляется на основании результатов </w:t>
      </w:r>
      <w:r>
        <w:rPr>
          <w:rFonts w:ascii="Times New Roman" w:hAnsi="Times New Roman" w:cs="Times New Roman" w:eastAsia="Times New Roman"/>
          <w:color w:val="000000"/>
          <w:spacing w:val="0"/>
          <w:position w:val="0"/>
          <w:sz w:val="24"/>
          <w:u w:val="single"/>
          <w:shd w:fill="auto" w:val="clear"/>
        </w:rPr>
        <w:t xml:space="preserve">всех этапов испытаний </w:t>
      </w:r>
      <w:r>
        <w:rPr>
          <w:rFonts w:ascii="Times New Roman" w:hAnsi="Times New Roman" w:cs="Times New Roman" w:eastAsia="Times New Roman"/>
          <w:color w:val="000000"/>
          <w:spacing w:val="0"/>
          <w:position w:val="0"/>
          <w:sz w:val="24"/>
          <w:shd w:fill="auto" w:val="clear"/>
        </w:rPr>
        <w:t xml:space="preserve">препарата, подтверждающих его эффективность, специфическую активность и безопасность, а также при наличии утвержденной нормативно-технической документации. То есть регистрация этих вакцин прошла с нарушением указанных правил. </w:t>
      </w:r>
    </w:p>
    <w:p>
      <w:pPr>
        <w:spacing w:before="0" w:after="0" w:line="240"/>
        <w:ind w:right="0" w:left="-284" w:firstLine="426"/>
        <w:jc w:val="both"/>
        <w:rPr>
          <w:rFonts w:ascii="Times New Roman" w:hAnsi="Times New Roman" w:cs="Times New Roman" w:eastAsia="Times New Roman"/>
          <w:color w:val="000000"/>
          <w:spacing w:val="0"/>
          <w:position w:val="0"/>
          <w:sz w:val="24"/>
          <w:shd w:fill="auto" w:val="clear"/>
        </w:rPr>
      </w:pPr>
    </w:p>
    <w:p>
      <w:pPr>
        <w:spacing w:before="0" w:after="0" w:line="240"/>
        <w:ind w:right="0" w:left="-284" w:firstLine="426"/>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Принуждение к вакцинации противоречит Нюрнбергскому Кодексу и законодательству Российской Федерации. </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Основной принцип, сформулированный Нюрнбергским кодексом по итогам Нюрнбергского трибунала, и легший в основу многих национальных и международных законодательных актов в области проведения медицинских исследований на человеке, провозглашает  </w:t>
      </w:r>
      <w:r>
        <w:rPr>
          <w:rFonts w:ascii="Times New Roman" w:hAnsi="Times New Roman" w:cs="Times New Roman" w:eastAsia="Times New Roman"/>
          <w:color w:val="000000"/>
          <w:spacing w:val="0"/>
          <w:position w:val="0"/>
          <w:sz w:val="24"/>
          <w:u w:val="single"/>
          <w:shd w:fill="auto" w:val="clear"/>
        </w:rPr>
        <w:t xml:space="preserve">недопустимость принуждения людей к участию в медицинских экспериментах</w:t>
      </w:r>
      <w:r>
        <w:rPr>
          <w:rFonts w:ascii="Times New Roman" w:hAnsi="Times New Roman" w:cs="Times New Roman" w:eastAsia="Times New Roman"/>
          <w:color w:val="000000"/>
          <w:spacing w:val="0"/>
          <w:position w:val="0"/>
          <w:sz w:val="24"/>
          <w:shd w:fill="auto" w:val="clear"/>
        </w:rPr>
        <w:t xml:space="preserve">. Необходимым условием для привлечения человека к участию в эксперименте является его добровольное осознанное согласие, полученное после предоставления ему полной информации о характере, продолжительности и цели проводимого эксперимента; о методах и способах его проведения; обо всех предполагаемых неудобствах и опасностях, связанных с проведением эксперимента, и, наконец, возможных последствиях для физического или психического здоровья испытуемого, могущих возникнуть в результате его участия в эксперименте.  </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Часть 2 статьи 21 Конституции РФ провозглашает: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Никто не должен подвергаться пыткам, насилию, другому жестокому или унижающему человеческое достоинство обращению или наказанию. </w:t>
      </w:r>
      <w:r>
        <w:rPr>
          <w:rFonts w:ascii="Times New Roman" w:hAnsi="Times New Roman" w:cs="Times New Roman" w:eastAsia="Times New Roman"/>
          <w:color w:val="000000"/>
          <w:spacing w:val="0"/>
          <w:position w:val="0"/>
          <w:sz w:val="24"/>
          <w:u w:val="single"/>
          <w:shd w:fill="auto" w:val="clear"/>
        </w:rPr>
        <w:t xml:space="preserve">Никто не может быть без добровольного согласия подвергнут медицинским, научным или иным опыта</w:t>
      </w:r>
      <w:r>
        <w:rPr>
          <w:rFonts w:ascii="Times New Roman" w:hAnsi="Times New Roman" w:cs="Times New Roman" w:eastAsia="Times New Roman"/>
          <w:color w:val="000000"/>
          <w:spacing w:val="0"/>
          <w:position w:val="0"/>
          <w:sz w:val="24"/>
          <w:shd w:fill="auto" w:val="clear"/>
        </w:rPr>
        <w:t xml:space="preserve">м.</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При этом из этой нормы мы видим, что медицинские опыты без добровольного согласия человека относятся к таким категориям как пытка, насилие, жестокое и унижающее человеческое достоинство обращение.</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Важно отметить, что любые медицинские вмешательства, в частности вакцинация, в Российской Федерации добровольны, п.1 ст. 20 ФЗ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323 «</w:t>
      </w:r>
      <w:r>
        <w:rPr>
          <w:rFonts w:ascii="Times New Roman" w:hAnsi="Times New Roman" w:cs="Times New Roman" w:eastAsia="Times New Roman"/>
          <w:color w:val="000000"/>
          <w:spacing w:val="0"/>
          <w:position w:val="0"/>
          <w:sz w:val="24"/>
          <w:shd w:fill="auto" w:val="clear"/>
        </w:rPr>
        <w:t xml:space="preserve">Об основах охраны здоровья граждан в Российской Федерации</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Подпункт 8 пункта 3 статьи 19 ФЗ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323 «</w:t>
      </w:r>
      <w:r>
        <w:rPr>
          <w:rFonts w:ascii="Times New Roman" w:hAnsi="Times New Roman" w:cs="Times New Roman" w:eastAsia="Times New Roman"/>
          <w:color w:val="000000"/>
          <w:spacing w:val="0"/>
          <w:position w:val="0"/>
          <w:sz w:val="24"/>
          <w:shd w:fill="auto" w:val="clear"/>
        </w:rPr>
        <w:t xml:space="preserve">Об основах охраны здоровья граждан в Российской Федерации</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Пациент имеет право на отказ от медицинского вмешательства</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При этом в соответствии с п. 5 ст. 2 Федерального закона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Об основах охраны здоровья граждан в РФ</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от 21.11.2011 г.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323-</w:t>
      </w:r>
      <w:r>
        <w:rPr>
          <w:rFonts w:ascii="Times New Roman" w:hAnsi="Times New Roman" w:cs="Times New Roman" w:eastAsia="Times New Roman"/>
          <w:color w:val="000000"/>
          <w:spacing w:val="0"/>
          <w:position w:val="0"/>
          <w:sz w:val="24"/>
          <w:shd w:fill="auto" w:val="clear"/>
        </w:rPr>
        <w:t xml:space="preserve">ФЗ под медицинским вмешательством понимают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выполняемые медицинским работником по отношению к пациенту, затрагивающие физическое или психическое состояние человека и имеющие профилактическую, исследовательскую, диагностическую, лечебную и реабилитационную направленность виды медицинских обследований и (или) медицинских манипуляций</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Согласно Федеральному закону "Об обращении лекарственных средств", участие пациентов в клинических исследованиях лекарственного препарата для медицинского применения является добровольным. </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Пункт 2 ст. 11 ФЗ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157 «</w:t>
      </w:r>
      <w:r>
        <w:rPr>
          <w:rFonts w:ascii="Times New Roman" w:hAnsi="Times New Roman" w:cs="Times New Roman" w:eastAsia="Times New Roman"/>
          <w:color w:val="000000"/>
          <w:spacing w:val="0"/>
          <w:position w:val="0"/>
          <w:sz w:val="24"/>
          <w:shd w:fill="auto" w:val="clear"/>
        </w:rPr>
        <w:t xml:space="preserve">Об иммунопрофилактике инфекционных болезней</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Профилактические прививки проводятся при наличии информированного добровольного согласия на медицинское вмешательство гражданина, одного из родителей либо иного законного представителя несовершеннолетнего в возрасте до 15 лет или больного наркоманией несовершеннолетнего в возрасте до 16 лет, законного представителя лица, признанного недееспособным в порядке, установленном законодательством Российской Федерации</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Абзац 7 п. 1 ст. 5 ФЗ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157 «</w:t>
      </w:r>
      <w:r>
        <w:rPr>
          <w:rFonts w:ascii="Times New Roman" w:hAnsi="Times New Roman" w:cs="Times New Roman" w:eastAsia="Times New Roman"/>
          <w:color w:val="000000"/>
          <w:spacing w:val="0"/>
          <w:position w:val="0"/>
          <w:sz w:val="24"/>
          <w:shd w:fill="auto" w:val="clear"/>
        </w:rPr>
        <w:t xml:space="preserve">Об иммунопрофилактике инфекционных болезней</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граждане при осуществлении иммунопрофилактики имеют право на отказ от профилактических прививок</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Согласно определению, данному в законе, иммунопрофилактика  - это система мероприятий, осуществляемых в целях предупреждения, ограничения распространения и ликвидации инфекционных болезней путем проведения профилактических прививок (абзац 3 ст. 1 ФЗ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Об иммунопрофилактике инфекционных болезней</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Раздел “Основные понятия” ФЗ </w:t>
      </w: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157 </w:t>
      </w:r>
      <w:r>
        <w:rPr>
          <w:rFonts w:ascii="Times New Roman" w:hAnsi="Times New Roman" w:cs="Times New Roman" w:eastAsia="Times New Roman"/>
          <w:color w:val="000000"/>
          <w:spacing w:val="0"/>
          <w:position w:val="0"/>
          <w:sz w:val="24"/>
          <w:shd w:fill="auto" w:val="clear"/>
        </w:rPr>
        <w:t xml:space="preserve">содержит и определение понятия </w:t>
      </w:r>
      <w:r>
        <w:rPr>
          <w:rFonts w:ascii="Times New Roman" w:hAnsi="Times New Roman" w:cs="Times New Roman" w:eastAsia="Times New Roman"/>
          <w:color w:val="000000"/>
          <w:spacing w:val="0"/>
          <w:position w:val="0"/>
          <w:sz w:val="24"/>
          <w:u w:val="single"/>
          <w:shd w:fill="auto" w:val="clear"/>
        </w:rPr>
        <w:t xml:space="preserve">“поствакцинальные осложнения” -  вызванные профилактическими прививками,</w:t>
      </w:r>
      <w:r>
        <w:rPr>
          <w:rFonts w:ascii="Times New Roman" w:hAnsi="Times New Roman" w:cs="Times New Roman" w:eastAsia="Times New Roman"/>
          <w:color w:val="000000"/>
          <w:spacing w:val="0"/>
          <w:position w:val="0"/>
          <w:sz w:val="24"/>
          <w:shd w:fill="auto" w:val="clear"/>
        </w:rPr>
        <w:t xml:space="preserve"> включенными в национальный календарь профилактических прививок и календарь профилактических прививок по эпидемическим показаниям - </w:t>
      </w:r>
      <w:r>
        <w:rPr>
          <w:rFonts w:ascii="Times New Roman" w:hAnsi="Times New Roman" w:cs="Times New Roman" w:eastAsia="Times New Roman"/>
          <w:color w:val="000000"/>
          <w:spacing w:val="0"/>
          <w:position w:val="0"/>
          <w:sz w:val="24"/>
          <w:u w:val="single"/>
          <w:shd w:fill="auto" w:val="clear"/>
        </w:rPr>
        <w:t xml:space="preserve">тяжелые и (или) стойкие нарушения состояния здоровья вследствие профилактических прививок</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Согласно ст. 19, 20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auto" w:val="clear"/>
          </w:rPr>
          <w:t xml:space="preserve">ФЗ </w:t>
        </w:r>
        <w:r>
          <w:rPr>
            <w:rFonts w:ascii="Segoe UI Symbol" w:hAnsi="Segoe UI Symbol" w:cs="Segoe UI Symbol" w:eastAsia="Segoe UI Symbol"/>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157  </w:t>
        </w:r>
        <w:r>
          <w:rPr>
            <w:rFonts w:ascii="Times New Roman" w:hAnsi="Times New Roman" w:cs="Times New Roman" w:eastAsia="Times New Roman"/>
            <w:color w:val="000000"/>
            <w:spacing w:val="0"/>
            <w:position w:val="0"/>
            <w:sz w:val="24"/>
            <w:u w:val="single"/>
            <w:shd w:fill="auto" w:val="clear"/>
          </w:rPr>
          <w:t xml:space="preserve">«Об </w:t>
        </w:r>
        <w:r>
          <w:rPr>
            <w:rFonts w:ascii="Times New Roman" w:hAnsi="Times New Roman" w:cs="Times New Roman" w:eastAsia="Times New Roman"/>
            <w:color w:val="000000"/>
            <w:spacing w:val="0"/>
            <w:position w:val="0"/>
            <w:sz w:val="24"/>
            <w:u w:val="single"/>
            <w:shd w:fill="auto" w:val="clear"/>
          </w:rPr>
          <w:t xml:space="preserve">иммунопрофилактике инфекционных болезней»</w:t>
        </w:r>
      </w:hyperlink>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при возникновении поствакцинального осложнения гражданин имеет право на получение государственного единовременного пособия в размере 10 000 рублей. В случае смерти гражданина, наступившей вследствие поствакцинального осложнения, право на получение государственного единовременного пособия в размере 30 000 рублей имеют члены его семьи. Гражданин, признанный инвалидом вследствие поствакцинального осложнения, имеет право на получение ежемесячной денежной компенсации в размере 1 000 рублей. Хочу отметить, что размер социальных выплат, нахначаемых в случае наступления поствакцинальных соразмерен тяжести последствий. </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Важно подчеркнуть, что любая вакцина имеет противопоказания и побочные действия, и может вызывать поствакцинальные осложнения и даже летальный исход, при вакцинации соблюдается принцип добровольного информированного согласия или отказа от проведения медицинского вмешательства. Перечень поствакцинальных осложнений, дающих право гражданам на получение государственных единовременных пособий утвержден Постановлением Правительства РФ от 02.08.1999 N 885 "Об утверждении перечня поствакцинальных осложнений, вызванных профилактическими прививками, включенными в национальный календарь профилактических прививок, и профилактическими прививками по эпидемическим показаниям, дающих право гражданам на получение государственных единовременных пособий" и включает:</w:t>
      </w:r>
    </w:p>
    <w:p>
      <w:pPr>
        <w:spacing w:before="0" w:after="0" w:line="240"/>
        <w:ind w:right="0" w:left="-284"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000000"/>
          <w:spacing w:val="0"/>
          <w:position w:val="0"/>
          <w:sz w:val="24"/>
          <w:shd w:fill="auto" w:val="clear"/>
        </w:rPr>
        <w:t xml:space="preserve">Анафилактический шок.</w:t>
      </w:r>
    </w:p>
    <w:p>
      <w:pPr>
        <w:spacing w:before="0" w:after="0" w:line="240"/>
        <w:ind w:right="0" w:left="-284"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000000"/>
          <w:spacing w:val="0"/>
          <w:position w:val="0"/>
          <w:sz w:val="24"/>
          <w:shd w:fill="auto" w:val="clear"/>
        </w:rPr>
        <w:t xml:space="preserve">Тяжелые генерализованные аллергические реакции (рецидивирующий ангионевротический отек - отек Квинке, синдром Стивена-Джонсона, синдром Лайела, синдром сывороточной болезни и т.п.).</w:t>
      </w:r>
    </w:p>
    <w:p>
      <w:pPr>
        <w:spacing w:before="0" w:after="0" w:line="240"/>
        <w:ind w:right="0" w:left="-284"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000000"/>
          <w:spacing w:val="0"/>
          <w:position w:val="0"/>
          <w:sz w:val="24"/>
          <w:shd w:fill="auto" w:val="clear"/>
        </w:rPr>
        <w:t xml:space="preserve">Энцефалит.</w:t>
      </w:r>
    </w:p>
    <w:p>
      <w:pPr>
        <w:spacing w:before="0" w:after="0" w:line="240"/>
        <w:ind w:right="0" w:left="-284"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w:t>
      </w:r>
      <w:r>
        <w:rPr>
          <w:rFonts w:ascii="Times New Roman" w:hAnsi="Times New Roman" w:cs="Times New Roman" w:eastAsia="Times New Roman"/>
          <w:color w:val="000000"/>
          <w:spacing w:val="0"/>
          <w:position w:val="0"/>
          <w:sz w:val="24"/>
          <w:shd w:fill="auto" w:val="clear"/>
        </w:rPr>
        <w:t xml:space="preserve">Вакцино-ассоциированный полиомиелит.</w:t>
      </w:r>
    </w:p>
    <w:p>
      <w:pPr>
        <w:spacing w:before="0" w:after="0" w:line="240"/>
        <w:ind w:right="0" w:left="-284"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000000"/>
          <w:spacing w:val="0"/>
          <w:position w:val="0"/>
          <w:sz w:val="24"/>
          <w:shd w:fill="auto" w:val="clear"/>
        </w:rPr>
        <w:t xml:space="preserve">Поражения центральной нервной системы с генерализованными или фокальными остаточными проявлениями, приведшими к инвалидности: энцефалопатия, серозный менингит, неврит, полиневрит, а также с клиническими проявлениями судорожного синдрома.</w:t>
      </w:r>
    </w:p>
    <w:p>
      <w:pPr>
        <w:spacing w:before="0" w:after="0" w:line="240"/>
        <w:ind w:right="0" w:left="-284"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w:t>
      </w:r>
      <w:r>
        <w:rPr>
          <w:rFonts w:ascii="Times New Roman" w:hAnsi="Times New Roman" w:cs="Times New Roman" w:eastAsia="Times New Roman"/>
          <w:color w:val="000000"/>
          <w:spacing w:val="0"/>
          <w:position w:val="0"/>
          <w:sz w:val="24"/>
          <w:shd w:fill="auto" w:val="clear"/>
        </w:rPr>
        <w:t xml:space="preserve">Генерализованная инфекция, остеит, остит, остеомиелит, вызванные вакциной БЦЖ.</w:t>
      </w:r>
    </w:p>
    <w:p>
      <w:pPr>
        <w:spacing w:before="0" w:after="0" w:line="240"/>
        <w:ind w:right="0" w:left="-284"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w:t>
      </w:r>
      <w:r>
        <w:rPr>
          <w:rFonts w:ascii="Times New Roman" w:hAnsi="Times New Roman" w:cs="Times New Roman" w:eastAsia="Times New Roman"/>
          <w:color w:val="000000"/>
          <w:spacing w:val="0"/>
          <w:position w:val="0"/>
          <w:sz w:val="24"/>
          <w:shd w:fill="auto" w:val="clear"/>
        </w:rPr>
        <w:t xml:space="preserve">Артрит хронический, вызванный вакциной против краснухи.</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Учитывая вышеперечисленное, считаю, что принуждение к вакцинации и медицинским экспериментам недопустимо.</w:t>
      </w:r>
    </w:p>
    <w:p>
      <w:pPr>
        <w:spacing w:before="0" w:after="0" w:line="240"/>
        <w:ind w:right="0" w:left="-284" w:firstLine="993"/>
        <w:jc w:val="both"/>
        <w:rPr>
          <w:rFonts w:ascii="Times New Roman" w:hAnsi="Times New Roman" w:cs="Times New Roman" w:eastAsia="Times New Roman"/>
          <w:color w:val="000000"/>
          <w:spacing w:val="0"/>
          <w:position w:val="0"/>
          <w:sz w:val="24"/>
          <w:shd w:fill="auto" w:val="clear"/>
        </w:rPr>
      </w:pPr>
    </w:p>
    <w:p>
      <w:pPr>
        <w:spacing w:before="0" w:after="0" w:line="240"/>
        <w:ind w:right="0" w:left="-284" w:firstLine="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Отказ от участия в медицинских экспериментах не может являться основанием для отстранения от работы (увольнения, лишения премии и т.д.), согласно ст. 37 Конституции РФ: Каждый имеет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федеральным законом минимального размера оплаты труда, а также право на защиту от безработицы. </w:t>
      </w:r>
    </w:p>
    <w:p>
      <w:pPr>
        <w:spacing w:before="0" w:after="0" w:line="240"/>
        <w:ind w:right="0" w:left="-284" w:firstLine="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Согласно ст. 3 Трудового кодекса РФ дискриминация в сфере труда запрещена:  </w:t>
      </w:r>
      <w:r>
        <w:rPr>
          <w:rFonts w:ascii="Times New Roman" w:hAnsi="Times New Roman" w:cs="Times New Roman" w:eastAsia="Times New Roman"/>
          <w:color w:val="auto"/>
          <w:spacing w:val="0"/>
          <w:position w:val="0"/>
          <w:sz w:val="24"/>
          <w:shd w:fill="FFFFFF" w:val="clear"/>
        </w:rPr>
        <w:t xml:space="preserve">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w:t>
      </w:r>
      <w:r>
        <w:rPr>
          <w:rFonts w:ascii="Times New Roman" w:hAnsi="Times New Roman" w:cs="Times New Roman" w:eastAsia="Times New Roman"/>
          <w:color w:val="auto"/>
          <w:spacing w:val="0"/>
          <w:position w:val="0"/>
          <w:sz w:val="24"/>
          <w:u w:val="single"/>
          <w:shd w:fill="FFFFFF" w:val="clear"/>
        </w:rPr>
        <w:t xml:space="preserve">также от других обстоятельств, не связанных с</w:t>
      </w:r>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деловыми качествами работника</w:t>
        </w:r>
      </w:hyperlink>
      <w:r>
        <w:rPr>
          <w:rFonts w:ascii="Times New Roman" w:hAnsi="Times New Roman" w:cs="Times New Roman" w:eastAsia="Times New Roman"/>
          <w:color w:val="auto"/>
          <w:spacing w:val="0"/>
          <w:position w:val="0"/>
          <w:sz w:val="24"/>
          <w:shd w:fill="FFFFFF" w:val="clear"/>
        </w:rPr>
        <w:t xml:space="preserve">.</w:t>
      </w:r>
    </w:p>
    <w:p>
      <w:pPr>
        <w:spacing w:before="0" w:after="0" w:line="240"/>
        <w:ind w:right="0" w:left="-284" w:firstLine="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Трудовым кодексом РФ установлен исчерпывающий перечень оснований для прекращения (расторжения) трудового договора между работодателем и работником. В тех случаях, когда работодатель при увольнении сотрудника нарушает его права, расторжение трудового соглашения считается незаконным и может быть оспорено. </w:t>
      </w:r>
    </w:p>
    <w:p>
      <w:pPr>
        <w:spacing w:before="0" w:after="0" w:line="240"/>
        <w:ind w:right="0" w:left="-284" w:firstLine="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соответствии с Федеральным законом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прокуратуре Российской Федерации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целях предупреждения нарушений в сфере труда прокурор при наличии сведений о возможных противоправных действиях работодателя вправе объявить должностному лицу предостережение о недопустимости нарушения сроков выплаты заработной платы, поскольку это может повлечь за собой нарушение прав работников на своевременную и полную выплату заработной платы гарантированных ч. 1 ст. 21 Трудового кодекса Российской Федерации.</w:t>
      </w:r>
    </w:p>
    <w:p>
      <w:pPr>
        <w:spacing w:before="0" w:after="0" w:line="240"/>
        <w:ind w:right="0" w:left="-284" w:firstLine="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факту совершенного нарушения норм Трудового кодекса Российской Федерации прокурор в соответствии со ст. 24 Федерального закона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прокуратуре РФ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вносит представление в адрес полномочного должностного лица с требованием о принятии мер по устранению нарушений и привлечению к ответственности виновных лиц. В течение месяца со дня внесения представления должны быть приняты конкретные меры по устранению допущенных нарушений закона, их причин и условий, им способствующих; о результатах принятых мер должно быть сообщено прокурору в письменной форме.</w:t>
      </w:r>
    </w:p>
    <w:p>
      <w:pPr>
        <w:spacing w:before="0" w:after="0" w:line="240"/>
        <w:ind w:right="0" w:left="-284" w:firstLine="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Кроме того, при выявлении нарушений закона прокурором может быть возбуждено дело об административном правонарушении путём вынесения постановления, предусмотренного ст. 25 Федерального закона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прокуратуре РФ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результатам рассмотрения постановления прокурора в качестве наказания за совершение административного правонарушения, предусмотренного ст. 5.27 КоАП РФ (нарушение законодательства о труде) работодателю Гострудинспекцией назначается по ч. 1 ст. 5.27 КоАП РФ штраф, повторное аналогичное нарушение работодателем положений законодательства о труде влечёт наказание по ч. 2 ст. 5.27 КоАП РФ в виде дисквалификации (запрет осуществлять управление предприятием).</w:t>
      </w:r>
    </w:p>
    <w:p>
      <w:pPr>
        <w:spacing w:before="0" w:after="0" w:line="240"/>
        <w:ind w:right="0" w:left="-284" w:firstLine="99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Также считаю важным отметить, что Роспотребнадзор, действуя через работодателей, оказывая на них давление преследует своей целью принудительно вакцинировать экспериментальной вакциной население.  Таким образом, в действиях Роспотребнадзора и работодателя по принуждению к вакцинации, явно усматривается состав правонарушений, предусмотренных ст.ст. 286, 330 Уголовного кодекса РФ: самоуправство и превышение должностных полномочий.</w:t>
      </w:r>
    </w:p>
    <w:p>
      <w:pPr>
        <w:spacing w:before="0" w:after="0" w:line="240"/>
        <w:ind w:right="0" w:left="-284" w:firstLine="7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На основании изложенного,</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ПРОШУ:</w:t>
      </w:r>
    </w:p>
    <w:p>
      <w:pPr>
        <w:spacing w:before="0" w:after="0" w:line="240"/>
        <w:ind w:right="0" w:left="-284" w:firstLine="7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Провести проверку изложенных фактов, не допустить недобровольную вакцинацию работников АО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Мосводоканал</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привлечь к ответственности должностных лиц, принуждающих работников к вакцинации и участию в медицинском эксперименте, принять меры к восстановлению нарушенных прав и свобод работников АО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Мосводоканал</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284" w:firstLine="7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284" w:firstLine="426"/>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Дата</w:t>
        <w:tab/>
      </w:r>
      <w:r>
        <w:rPr>
          <w:rFonts w:ascii="Times New Roman" w:hAnsi="Times New Roman" w:cs="Times New Roman" w:eastAsia="Times New Roman"/>
          <w:color w:val="auto"/>
          <w:spacing w:val="0"/>
          <w:position w:val="0"/>
          <w:sz w:val="24"/>
          <w:shd w:fill="auto" w:val="clear"/>
        </w:rPr>
        <w:tab/>
        <w:tab/>
        <w:tab/>
        <w:t xml:space="preserve">                   </w:t>
      </w:r>
      <w:r>
        <w:rPr>
          <w:rFonts w:ascii="Times New Roman" w:hAnsi="Times New Roman" w:cs="Times New Roman" w:eastAsia="Times New Roman"/>
          <w:color w:val="auto"/>
          <w:spacing w:val="0"/>
          <w:position w:val="0"/>
          <w:sz w:val="24"/>
          <w:shd w:fill="FFFF00" w:val="clear"/>
        </w:rPr>
        <w:t xml:space="preserve">[если это бумажное письмо </w:t>
      </w:r>
      <w:r>
        <w:rPr>
          <w:rFonts w:ascii="Times New Roman" w:hAnsi="Times New Roman" w:cs="Times New Roman" w:eastAsia="Times New Roman"/>
          <w:color w:val="auto"/>
          <w:spacing w:val="0"/>
          <w:position w:val="0"/>
          <w:sz w:val="24"/>
          <w:shd w:fill="FFFF00" w:val="clear"/>
        </w:rPr>
        <w:t xml:space="preserve">–</w:t>
      </w:r>
      <w:r>
        <w:rPr>
          <w:rFonts w:ascii="Times New Roman" w:hAnsi="Times New Roman" w:cs="Times New Roman" w:eastAsia="Times New Roman"/>
          <w:color w:val="auto"/>
          <w:spacing w:val="0"/>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подпись]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00" w:val="clear"/>
        </w:rPr>
        <w:t xml:space="preserve">Фамилия И. О.</w:t>
      </w:r>
    </w:p>
    <w:p>
      <w:pPr>
        <w:spacing w:before="0" w:after="200" w:line="276"/>
        <w:ind w:right="0" w:left="-284" w:firstLine="710"/>
        <w:jc w:val="left"/>
        <w:rPr>
          <w:rFonts w:ascii="Times New Roman" w:hAnsi="Times New Roman" w:cs="Times New Roman" w:eastAsia="Times New Roman"/>
          <w:b/>
          <w:color w:val="auto"/>
          <w:spacing w:val="0"/>
          <w:position w:val="0"/>
          <w:sz w:val="24"/>
          <w:shd w:fill="auto" w:val="clear"/>
        </w:rPr>
      </w:pPr>
    </w:p>
    <w:p>
      <w:pPr>
        <w:spacing w:before="0" w:after="0" w:line="240"/>
        <w:ind w:right="0" w:left="-284" w:firstLine="710"/>
        <w:jc w:val="both"/>
        <w:rPr>
          <w:rFonts w:ascii="Times New Roman" w:hAnsi="Times New Roman" w:cs="Times New Roman" w:eastAsia="Times New Roman"/>
          <w:b/>
          <w:color w:val="auto"/>
          <w:spacing w:val="0"/>
          <w:position w:val="0"/>
          <w:sz w:val="24"/>
          <w:shd w:fill="auto" w:val="clear"/>
        </w:rPr>
      </w:pPr>
    </w:p>
    <w:p>
      <w:pPr>
        <w:spacing w:before="0" w:after="0" w:line="240"/>
        <w:ind w:right="0" w:left="-284" w:firstLine="71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ost@mosvodokanal.ru" Id="docRId1" Type="http://schemas.openxmlformats.org/officeDocument/2006/relationships/hyperlink" /><Relationship TargetMode="External" Target="http://base.garant.ru/12134976/91f60e4e5c95c477df519611386e5035/" Id="docRId3" Type="http://schemas.openxmlformats.org/officeDocument/2006/relationships/hyperlink" /><Relationship Target="styles.xml" Id="docRId5" Type="http://schemas.openxmlformats.org/officeDocument/2006/relationships/styles" /><Relationship TargetMode="External" Target="https://epp.genproc.gov.ru/web/gprf/internet-reception" Id="docRId0" Type="http://schemas.openxmlformats.org/officeDocument/2006/relationships/hyperlink" /><Relationship TargetMode="External" Target="http://www.consultant.ru/document/cons_doc_LAW_20315/" Id="docRId2" Type="http://schemas.openxmlformats.org/officeDocument/2006/relationships/hyperlink" /><Relationship Target="numbering.xml" Id="docRId4" Type="http://schemas.openxmlformats.org/officeDocument/2006/relationships/numbering" /></Relationships>
</file>