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F53CA">
      <w:pPr>
        <w:spacing w:before="1800" w:after="60"/>
      </w:pPr>
      <w:r>
        <w:rPr>
          <w:rFonts w:ascii="Times New Roman" w:hAnsi="Times New Roman" w:eastAsia="Times New Roman" w:cs="Times New Roman"/>
          <w:b/>
          <w:bCs/>
          <w:color w:val="1B2A4A"/>
          <w:sz w:val="52"/>
          <w:szCs w:val="52"/>
        </w:rPr>
        <w:t>CREDIT RISK &amp; LOAN PORTFOLIO</w:t>
      </w:r>
    </w:p>
    <w:p w14:paraId="529AB144">
      <w:pPr>
        <w:spacing w:after="260"/>
        <w:jc w:val="center"/>
      </w:pPr>
      <w:r>
        <w:rPr>
          <w:rFonts w:ascii="Times New Roman" w:hAnsi="Times New Roman" w:eastAsia="Times New Roman" w:cs="Times New Roman"/>
          <w:b/>
          <w:bCs/>
          <w:color w:val="1B2A4A"/>
          <w:sz w:val="52"/>
          <w:szCs w:val="52"/>
        </w:rPr>
        <w:t>ANALYTICS PIPELINE</w:t>
      </w:r>
    </w:p>
    <w:p w14:paraId="382DEF6A">
      <w:pPr>
        <w:pBdr>
          <w:bottom w:val="single" w:color="C9A227" w:sz="12" w:space="10"/>
        </w:pBdr>
        <w:spacing w:after="300"/>
        <w:jc w:val="center"/>
      </w:pPr>
      <w:r>
        <w:rPr>
          <w:rFonts w:ascii="Times New Roman" w:hAnsi="Times New Roman" w:eastAsia="Times New Roman" w:cs="Times New Roman"/>
        </w:rPr>
        <w:t xml:space="preserve"> </w:t>
      </w:r>
    </w:p>
    <w:p w14:paraId="757A2D59">
      <w:pPr>
        <w:spacing w:after="500"/>
        <w:jc w:val="center"/>
      </w:pPr>
      <w:r>
        <w:rPr>
          <w:rFonts w:ascii="Times New Roman" w:hAnsi="Times New Roman" w:eastAsia="Times New Roman" w:cs="Times New Roman"/>
          <w:i/>
          <w:iCs/>
          <w:color w:val="333333"/>
          <w:sz w:val="26"/>
          <w:szCs w:val="26"/>
          <w:lang w:val="en-US"/>
        </w:rPr>
        <w:t>An End-to-End Azure + Snowflake + dbt + Dagster + Streamlit Data Engineering Project</w:t>
      </w:r>
    </w:p>
    <w:p w14:paraId="1C2CF929">
      <w:pPr>
        <w:spacing w:after="1000"/>
        <w:jc w:val="center"/>
      </w:pPr>
      <w:r>
        <w:rPr>
          <w:rFonts w:ascii="Times New Roman" w:hAnsi="Times New Roman" w:eastAsia="Times New Roman" w:cs="Times New Roman"/>
          <w:b/>
          <w:bCs/>
          <w:color w:val="C9A227"/>
          <w:sz w:val="24"/>
          <w:szCs w:val="24"/>
          <w:lang w:val="en-US"/>
        </w:rPr>
        <w:t>Finance  |  Credit Risk &amp; Loan Portfolio Analytics</w:t>
      </w:r>
    </w:p>
    <w:p w14:paraId="0C546769">
      <w:pPr>
        <w:spacing w:before="1600"/>
      </w:pPr>
    </w:p>
    <w:p w14:paraId="3CAA0F19">
      <w:pPr>
        <w:spacing w:after="120"/>
        <w:jc w:val="center"/>
      </w:pPr>
      <w:r>
        <w:rPr>
          <w:rFonts w:ascii="Times New Roman" w:hAnsi="Times New Roman" w:eastAsia="Times New Roman" w:cs="Times New Roman"/>
          <w:b/>
          <w:bCs/>
          <w:color w:val="1B2A4A"/>
          <w:sz w:val="24"/>
          <w:szCs w:val="24"/>
        </w:rPr>
        <w:t>Prepared by</w:t>
      </w:r>
    </w:p>
    <w:p w14:paraId="5412CE1D">
      <w:pPr>
        <w:spacing w:after="60"/>
        <w:jc w:val="center"/>
      </w:pPr>
      <w:r>
        <w:rPr>
          <w:rFonts w:ascii="Times New Roman" w:hAnsi="Times New Roman" w:eastAsia="Times New Roman" w:cs="Times New Roman"/>
          <w:sz w:val="24"/>
          <w:szCs w:val="24"/>
        </w:rPr>
        <w:t>Fakiha Tabassum</w:t>
      </w:r>
    </w:p>
    <w:p w14:paraId="6F780661">
      <w:pPr>
        <w:spacing w:after="60"/>
        <w:jc w:val="center"/>
      </w:pPr>
      <w:r>
        <w:rPr>
          <w:rFonts w:ascii="Times New Roman" w:hAnsi="Times New Roman" w:eastAsia="Times New Roman" w:cs="Times New Roman"/>
          <w:sz w:val="24"/>
          <w:szCs w:val="24"/>
          <w:lang w:val="en-US"/>
        </w:rPr>
        <w:t>Sravya Bachupally</w:t>
      </w:r>
    </w:p>
    <w:p w14:paraId="0CEAC355">
      <w:pPr>
        <w:spacing w:after="500"/>
        <w:jc w:val="center"/>
      </w:pPr>
      <w:r>
        <w:rPr>
          <w:rFonts w:ascii="Times New Roman" w:hAnsi="Times New Roman" w:eastAsia="Times New Roman" w:cs="Times New Roman"/>
          <w:sz w:val="24"/>
          <w:szCs w:val="24"/>
          <w:lang w:val="en-US"/>
        </w:rPr>
        <w:t>Pavan Dasoju</w:t>
      </w:r>
    </w:p>
    <w:p w14:paraId="16E6B71F">
      <w:pPr>
        <w:spacing w:before="1200"/>
        <w:jc w:val="center"/>
      </w:pPr>
      <w:r>
        <w:rPr>
          <w:rFonts w:ascii="Times New Roman" w:hAnsi="Times New Roman" w:eastAsia="Times New Roman" w:cs="Times New Roman"/>
          <w:color w:val="6B7280"/>
          <w:sz w:val="22"/>
          <w:szCs w:val="22"/>
        </w:rPr>
        <w:t>August 2026</w:t>
      </w:r>
    </w:p>
    <w:p w14:paraId="2D2D9EE9">
      <w:r>
        <w:br w:type="page"/>
      </w:r>
    </w:p>
    <w:p w14:paraId="672AE5CF">
      <w:pPr>
        <w:spacing w:after="40"/>
        <w:jc w:val="center"/>
      </w:pPr>
      <w:r>
        <w:rPr>
          <w:rFonts w:ascii="Times New Roman" w:hAnsi="Times New Roman" w:eastAsia="Times New Roman" w:cs="Times New Roman"/>
          <w:b/>
          <w:bCs/>
          <w:color w:val="1B2A4A"/>
          <w:sz w:val="34"/>
          <w:szCs w:val="34"/>
        </w:rPr>
        <w:t>TABLE OF CONTENTS</w:t>
      </w:r>
    </w:p>
    <w:p w14:paraId="4001FE50">
      <w:pPr>
        <w:pBdr>
          <w:bottom w:val="single" w:color="C9A227" w:sz="10" w:space="6"/>
        </w:pBdr>
        <w:spacing w:after="300"/>
        <w:jc w:val="center"/>
      </w:pPr>
      <w:r>
        <w:rPr>
          <w:rFonts w:ascii="Times New Roman" w:hAnsi="Times New Roman" w:eastAsia="Times New Roman" w:cs="Times New Roman"/>
        </w:rPr>
        <w:t xml:space="preserve"> </w:t>
      </w:r>
    </w:p>
    <w:tbl>
      <w:tblPr>
        <w:tblStyle w:val="9"/>
        <w:tblW w:w="936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700"/>
        <w:gridCol w:w="7460"/>
        <w:gridCol w:w="1200"/>
      </w:tblGrid>
      <w:tr w14:paraId="783663E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blHeader/>
        </w:trPr>
        <w:tc>
          <w:tcPr>
            <w:tcW w:w="70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47DDBD1B">
            <w:pPr>
              <w:jc w:val="center"/>
            </w:pPr>
            <w:r>
              <w:rPr>
                <w:rFonts w:ascii="Times New Roman" w:hAnsi="Times New Roman" w:eastAsia="Times New Roman" w:cs="Times New Roman"/>
                <w:b/>
                <w:bCs/>
                <w:color w:val="FFFFFF"/>
                <w:sz w:val="21"/>
                <w:szCs w:val="21"/>
              </w:rPr>
              <w:t>No.</w:t>
            </w:r>
          </w:p>
        </w:tc>
        <w:tc>
          <w:tcPr>
            <w:tcW w:w="746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629570E0">
            <w:pPr>
              <w:jc w:val="left"/>
            </w:pPr>
            <w:r>
              <w:rPr>
                <w:rFonts w:ascii="Times New Roman" w:hAnsi="Times New Roman" w:eastAsia="Times New Roman" w:cs="Times New Roman"/>
                <w:b/>
                <w:bCs/>
                <w:color w:val="FFFFFF"/>
                <w:sz w:val="21"/>
                <w:szCs w:val="21"/>
              </w:rPr>
              <w:t>Section</w:t>
            </w:r>
          </w:p>
        </w:tc>
        <w:tc>
          <w:tcPr>
            <w:tcW w:w="120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4DE1FFF7">
            <w:pPr>
              <w:jc w:val="center"/>
            </w:pPr>
            <w:r>
              <w:rPr>
                <w:rFonts w:ascii="Times New Roman" w:hAnsi="Times New Roman" w:eastAsia="Times New Roman" w:cs="Times New Roman"/>
                <w:b/>
                <w:bCs/>
                <w:color w:val="FFFFFF"/>
                <w:sz w:val="21"/>
                <w:szCs w:val="21"/>
              </w:rPr>
              <w:t>Page</w:t>
            </w:r>
          </w:p>
        </w:tc>
      </w:tr>
      <w:tr w14:paraId="254B274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55790DD9">
            <w:pPr>
              <w:jc w:val="center"/>
            </w:pPr>
            <w:r>
              <w:rPr>
                <w:rFonts w:ascii="Times New Roman" w:hAnsi="Times New Roman" w:eastAsia="Times New Roman" w:cs="Times New Roman"/>
                <w:b/>
                <w:bCs/>
                <w:sz w:val="21"/>
                <w:szCs w:val="21"/>
              </w:rPr>
              <w:t>1.</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491D69E8">
            <w:pPr>
              <w:jc w:val="left"/>
            </w:pPr>
            <w:r>
              <w:rPr>
                <w:rFonts w:ascii="Times New Roman" w:hAnsi="Times New Roman" w:eastAsia="Times New Roman" w:cs="Times New Roman"/>
                <w:b/>
                <w:bCs/>
                <w:sz w:val="21"/>
                <w:szCs w:val="21"/>
              </w:rPr>
              <w:t>Abstract</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3A17FEE8">
            <w:pPr>
              <w:jc w:val="center"/>
            </w:pPr>
            <w:r>
              <w:rPr>
                <w:rFonts w:ascii="Times New Roman" w:hAnsi="Times New Roman" w:eastAsia="Times New Roman" w:cs="Times New Roman"/>
                <w:b/>
                <w:bCs/>
                <w:sz w:val="21"/>
                <w:szCs w:val="21"/>
              </w:rPr>
              <w:t>3</w:t>
            </w:r>
          </w:p>
        </w:tc>
      </w:tr>
      <w:tr w14:paraId="662900E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36362ED7">
            <w:pPr>
              <w:jc w:val="center"/>
            </w:pPr>
            <w:r>
              <w:rPr>
                <w:rFonts w:ascii="Times New Roman" w:hAnsi="Times New Roman" w:eastAsia="Times New Roman" w:cs="Times New Roman"/>
                <w:b/>
                <w:bCs/>
                <w:sz w:val="21"/>
                <w:szCs w:val="21"/>
              </w:rPr>
              <w:t>2.</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0A632EB3">
            <w:pPr>
              <w:jc w:val="left"/>
            </w:pPr>
            <w:r>
              <w:rPr>
                <w:rFonts w:ascii="Times New Roman" w:hAnsi="Times New Roman" w:eastAsia="Times New Roman" w:cs="Times New Roman"/>
                <w:b/>
                <w:bCs/>
                <w:sz w:val="21"/>
                <w:szCs w:val="21"/>
              </w:rPr>
              <w:t>Problem Statement</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57B713EA">
            <w:pPr>
              <w:jc w:val="center"/>
            </w:pPr>
            <w:r>
              <w:rPr>
                <w:rFonts w:ascii="Times New Roman" w:hAnsi="Times New Roman" w:eastAsia="Times New Roman" w:cs="Times New Roman"/>
                <w:b/>
                <w:bCs/>
                <w:sz w:val="21"/>
                <w:szCs w:val="21"/>
              </w:rPr>
              <w:t>3</w:t>
            </w:r>
          </w:p>
        </w:tc>
      </w:tr>
      <w:tr w14:paraId="5FBB002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35038FA6">
            <w:pPr>
              <w:jc w:val="center"/>
            </w:pPr>
            <w:r>
              <w:rPr>
                <w:rFonts w:ascii="Times New Roman" w:hAnsi="Times New Roman" w:eastAsia="Times New Roman" w:cs="Times New Roman"/>
                <w:b/>
                <w:bCs/>
                <w:sz w:val="21"/>
                <w:szCs w:val="21"/>
              </w:rPr>
              <w:t>3.</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53D1FEBE">
            <w:pPr>
              <w:jc w:val="left"/>
            </w:pPr>
            <w:r>
              <w:rPr>
                <w:rFonts w:ascii="Times New Roman" w:hAnsi="Times New Roman" w:eastAsia="Times New Roman" w:cs="Times New Roman"/>
                <w:b/>
                <w:bCs/>
                <w:sz w:val="21"/>
                <w:szCs w:val="21"/>
              </w:rPr>
              <w:t>Objective</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44A33DD1">
            <w:pPr>
              <w:jc w:val="center"/>
            </w:pPr>
            <w:r>
              <w:rPr>
                <w:rFonts w:ascii="Times New Roman" w:hAnsi="Times New Roman" w:eastAsia="Times New Roman" w:cs="Times New Roman"/>
                <w:b/>
                <w:bCs/>
                <w:sz w:val="21"/>
                <w:szCs w:val="21"/>
              </w:rPr>
              <w:t>3</w:t>
            </w:r>
          </w:p>
        </w:tc>
      </w:tr>
      <w:tr w14:paraId="6B576A0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39888510">
            <w:pPr>
              <w:jc w:val="center"/>
            </w:pPr>
            <w:r>
              <w:rPr>
                <w:rFonts w:ascii="Times New Roman" w:hAnsi="Times New Roman" w:eastAsia="Times New Roman" w:cs="Times New Roman"/>
                <w:b/>
                <w:bCs/>
                <w:sz w:val="21"/>
                <w:szCs w:val="21"/>
              </w:rPr>
              <w:t>4.</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73208EF5">
            <w:pPr>
              <w:jc w:val="left"/>
            </w:pPr>
            <w:r>
              <w:rPr>
                <w:rFonts w:ascii="Times New Roman" w:hAnsi="Times New Roman" w:eastAsia="Times New Roman" w:cs="Times New Roman"/>
                <w:b/>
                <w:bCs/>
                <w:sz w:val="21"/>
                <w:szCs w:val="21"/>
              </w:rPr>
              <w:t>Key Focus Areas</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1C63CDF9">
            <w:pPr>
              <w:jc w:val="center"/>
            </w:pPr>
            <w:r>
              <w:rPr>
                <w:rFonts w:ascii="Times New Roman" w:hAnsi="Times New Roman" w:eastAsia="Times New Roman" w:cs="Times New Roman"/>
                <w:b/>
                <w:bCs/>
                <w:sz w:val="21"/>
                <w:szCs w:val="21"/>
              </w:rPr>
              <w:t>4</w:t>
            </w:r>
          </w:p>
        </w:tc>
      </w:tr>
      <w:tr w14:paraId="760B64D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0CE9DEDD">
            <w:pPr>
              <w:jc w:val="center"/>
            </w:pPr>
            <w:r>
              <w:rPr>
                <w:rFonts w:ascii="Times New Roman" w:hAnsi="Times New Roman" w:eastAsia="Times New Roman" w:cs="Times New Roman"/>
                <w:b/>
                <w:bCs/>
                <w:sz w:val="21"/>
                <w:szCs w:val="21"/>
              </w:rPr>
              <w:t>5.</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19A9CD20">
            <w:pPr>
              <w:jc w:val="left"/>
            </w:pPr>
            <w:r>
              <w:rPr>
                <w:rFonts w:ascii="Times New Roman" w:hAnsi="Times New Roman" w:eastAsia="Times New Roman" w:cs="Times New Roman"/>
                <w:b/>
                <w:bCs/>
                <w:sz w:val="21"/>
                <w:szCs w:val="21"/>
              </w:rPr>
              <w:t>Software &amp; Technical Specifications</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12755303">
            <w:pPr>
              <w:jc w:val="center"/>
            </w:pPr>
            <w:r>
              <w:rPr>
                <w:rFonts w:ascii="Times New Roman" w:hAnsi="Times New Roman" w:eastAsia="Times New Roman" w:cs="Times New Roman"/>
                <w:b/>
                <w:bCs/>
                <w:sz w:val="21"/>
                <w:szCs w:val="21"/>
              </w:rPr>
              <w:t>4</w:t>
            </w:r>
          </w:p>
        </w:tc>
      </w:tr>
      <w:tr w14:paraId="31DBAC7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788F1976">
            <w:pPr>
              <w:jc w:val="center"/>
            </w:pPr>
            <w:r>
              <w:rPr>
                <w:rFonts w:ascii="Times New Roman" w:hAnsi="Times New Roman" w:eastAsia="Times New Roman" w:cs="Times New Roman"/>
                <w:b/>
                <w:bCs/>
                <w:sz w:val="21"/>
                <w:szCs w:val="21"/>
              </w:rPr>
              <w:t>6.</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2FEF397D">
            <w:pPr>
              <w:jc w:val="left"/>
            </w:pPr>
            <w:r>
              <w:rPr>
                <w:rFonts w:ascii="Times New Roman" w:hAnsi="Times New Roman" w:eastAsia="Times New Roman" w:cs="Times New Roman"/>
                <w:b/>
                <w:bCs/>
                <w:sz w:val="21"/>
                <w:szCs w:val="21"/>
              </w:rPr>
              <w:t>Architecture</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428711C2">
            <w:pPr>
              <w:jc w:val="center"/>
            </w:pPr>
            <w:r>
              <w:rPr>
                <w:rFonts w:ascii="Times New Roman" w:hAnsi="Times New Roman" w:eastAsia="Times New Roman" w:cs="Times New Roman"/>
                <w:b/>
                <w:bCs/>
                <w:sz w:val="21"/>
                <w:szCs w:val="21"/>
              </w:rPr>
              <w:t>5</w:t>
            </w:r>
          </w:p>
        </w:tc>
      </w:tr>
      <w:tr w14:paraId="426C9CB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2925D092">
            <w:pPr>
              <w:jc w:val="center"/>
            </w:pPr>
            <w:r>
              <w:rPr>
                <w:rFonts w:ascii="Times New Roman" w:hAnsi="Times New Roman" w:eastAsia="Times New Roman" w:cs="Times New Roman"/>
                <w:b/>
                <w:bCs/>
                <w:sz w:val="21"/>
                <w:szCs w:val="21"/>
              </w:rPr>
              <w:t>7.</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481187AB">
            <w:pPr>
              <w:jc w:val="left"/>
            </w:pPr>
            <w:r>
              <w:rPr>
                <w:rFonts w:ascii="Times New Roman" w:hAnsi="Times New Roman" w:eastAsia="Times New Roman" w:cs="Times New Roman"/>
                <w:b/>
                <w:bCs/>
                <w:sz w:val="21"/>
                <w:szCs w:val="21"/>
              </w:rPr>
              <w:t>Flow Overview</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60B4B768">
            <w:pPr>
              <w:jc w:val="center"/>
            </w:pPr>
            <w:r>
              <w:rPr>
                <w:rFonts w:ascii="Times New Roman" w:hAnsi="Times New Roman" w:eastAsia="Times New Roman" w:cs="Times New Roman"/>
                <w:b/>
                <w:bCs/>
                <w:sz w:val="21"/>
                <w:szCs w:val="21"/>
              </w:rPr>
              <w:t>6</w:t>
            </w:r>
          </w:p>
        </w:tc>
      </w:tr>
      <w:tr w14:paraId="0B53C26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4D5ED9E6">
            <w:pPr>
              <w:jc w:val="center"/>
            </w:pPr>
            <w:r>
              <w:rPr>
                <w:rFonts w:ascii="Times New Roman" w:hAnsi="Times New Roman" w:eastAsia="Times New Roman" w:cs="Times New Roman"/>
                <w:b/>
                <w:bCs/>
                <w:sz w:val="21"/>
                <w:szCs w:val="21"/>
              </w:rPr>
              <w:t>8.</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06AED951">
            <w:pPr>
              <w:jc w:val="left"/>
            </w:pPr>
            <w:r>
              <w:rPr>
                <w:rFonts w:ascii="Times New Roman" w:hAnsi="Times New Roman" w:eastAsia="Times New Roman" w:cs="Times New Roman"/>
                <w:b/>
                <w:bCs/>
                <w:sz w:val="21"/>
                <w:szCs w:val="21"/>
              </w:rPr>
              <w:t>Project Implementation Steps</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02318DC2">
            <w:pPr>
              <w:jc w:val="center"/>
            </w:pPr>
            <w:r>
              <w:rPr>
                <w:rFonts w:ascii="Times New Roman" w:hAnsi="Times New Roman" w:eastAsia="Times New Roman" w:cs="Times New Roman"/>
                <w:b/>
                <w:bCs/>
                <w:sz w:val="21"/>
                <w:szCs w:val="21"/>
              </w:rPr>
              <w:t>7</w:t>
            </w:r>
          </w:p>
        </w:tc>
      </w:tr>
      <w:tr w14:paraId="5BDFA52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C3008A8">
            <w:pPr>
              <w:jc w:val="center"/>
            </w:pPr>
          </w:p>
        </w:tc>
        <w:tc>
          <w:tcPr>
            <w:tcW w:w="74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3EEEC05">
            <w:pPr>
              <w:jc w:val="left"/>
            </w:pPr>
            <w:r>
              <w:rPr>
                <w:rFonts w:ascii="Times New Roman" w:hAnsi="Times New Roman" w:eastAsia="Times New Roman" w:cs="Times New Roman"/>
                <w:b w:val="0"/>
                <w:bCs w:val="0"/>
                <w:sz w:val="21"/>
                <w:szCs w:val="21"/>
                <w:lang w:val="en-US"/>
              </w:rPr>
              <w:t xml:space="preserve">     8.1  Snowflake &amp; Azure Environment Setup</w:t>
            </w:r>
          </w:p>
        </w:tc>
        <w:tc>
          <w:tcPr>
            <w:tcW w:w="12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01650CE8">
            <w:pPr>
              <w:jc w:val="center"/>
            </w:pPr>
            <w:r>
              <w:rPr>
                <w:rFonts w:ascii="Times New Roman" w:hAnsi="Times New Roman" w:eastAsia="Times New Roman" w:cs="Times New Roman"/>
                <w:b w:val="0"/>
                <w:bCs w:val="0"/>
                <w:sz w:val="21"/>
                <w:szCs w:val="21"/>
              </w:rPr>
              <w:t>7</w:t>
            </w:r>
          </w:p>
        </w:tc>
      </w:tr>
      <w:tr w14:paraId="6CF9F5C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EF092B9">
            <w:pPr>
              <w:jc w:val="center"/>
            </w:pPr>
          </w:p>
        </w:tc>
        <w:tc>
          <w:tcPr>
            <w:tcW w:w="74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2846696">
            <w:pPr>
              <w:jc w:val="left"/>
            </w:pPr>
            <w:r>
              <w:rPr>
                <w:rFonts w:ascii="Times New Roman" w:hAnsi="Times New Roman" w:eastAsia="Times New Roman" w:cs="Times New Roman"/>
                <w:b w:val="0"/>
                <w:bCs w:val="0"/>
                <w:sz w:val="21"/>
                <w:szCs w:val="21"/>
                <w:lang w:val="en-US"/>
              </w:rPr>
              <w:t xml:space="preserve">     8.2  Data Ingestion — Landing Zone</w:t>
            </w:r>
          </w:p>
        </w:tc>
        <w:tc>
          <w:tcPr>
            <w:tcW w:w="12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B4FF9D9">
            <w:pPr>
              <w:jc w:val="center"/>
            </w:pPr>
            <w:r>
              <w:rPr>
                <w:rFonts w:ascii="Times New Roman" w:hAnsi="Times New Roman" w:eastAsia="Times New Roman" w:cs="Times New Roman"/>
                <w:b w:val="0"/>
                <w:bCs w:val="0"/>
                <w:sz w:val="21"/>
                <w:szCs w:val="21"/>
              </w:rPr>
              <w:t>7</w:t>
            </w:r>
          </w:p>
        </w:tc>
      </w:tr>
      <w:tr w14:paraId="7C39735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3C03815">
            <w:pPr>
              <w:jc w:val="center"/>
            </w:pPr>
          </w:p>
        </w:tc>
        <w:tc>
          <w:tcPr>
            <w:tcW w:w="74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34B826F2">
            <w:pPr>
              <w:jc w:val="left"/>
            </w:pPr>
            <w:r>
              <w:rPr>
                <w:rFonts w:ascii="Times New Roman" w:hAnsi="Times New Roman" w:eastAsia="Times New Roman" w:cs="Times New Roman"/>
                <w:b w:val="0"/>
                <w:bCs w:val="0"/>
                <w:sz w:val="21"/>
                <w:szCs w:val="21"/>
                <w:lang w:val="en-US"/>
              </w:rPr>
              <w:t xml:space="preserve">     8.3  Bronze Layer — Snowflake Raw Ingestion</w:t>
            </w:r>
          </w:p>
        </w:tc>
        <w:tc>
          <w:tcPr>
            <w:tcW w:w="12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0EA57BD">
            <w:pPr>
              <w:jc w:val="center"/>
            </w:pPr>
            <w:r>
              <w:rPr>
                <w:rFonts w:ascii="Times New Roman" w:hAnsi="Times New Roman" w:eastAsia="Times New Roman" w:cs="Times New Roman"/>
                <w:b w:val="0"/>
                <w:bCs w:val="0"/>
                <w:sz w:val="21"/>
                <w:szCs w:val="21"/>
              </w:rPr>
              <w:t>8</w:t>
            </w:r>
          </w:p>
        </w:tc>
      </w:tr>
      <w:tr w14:paraId="2D84A8B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754480BF">
            <w:pPr>
              <w:jc w:val="center"/>
            </w:pPr>
          </w:p>
        </w:tc>
        <w:tc>
          <w:tcPr>
            <w:tcW w:w="74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9BACABC">
            <w:pPr>
              <w:jc w:val="left"/>
            </w:pPr>
            <w:r>
              <w:rPr>
                <w:rFonts w:ascii="Times New Roman" w:hAnsi="Times New Roman" w:eastAsia="Times New Roman" w:cs="Times New Roman"/>
                <w:b w:val="0"/>
                <w:bCs w:val="0"/>
                <w:sz w:val="21"/>
                <w:szCs w:val="21"/>
                <w:lang w:val="en-US"/>
              </w:rPr>
              <w:t xml:space="preserve">     8.4  Silver Layer — Native dbt Transformation</w:t>
            </w:r>
          </w:p>
        </w:tc>
        <w:tc>
          <w:tcPr>
            <w:tcW w:w="12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13CF7325">
            <w:pPr>
              <w:jc w:val="center"/>
            </w:pPr>
            <w:r>
              <w:rPr>
                <w:rFonts w:ascii="Times New Roman" w:hAnsi="Times New Roman" w:eastAsia="Times New Roman" w:cs="Times New Roman"/>
                <w:b w:val="0"/>
                <w:bCs w:val="0"/>
                <w:sz w:val="21"/>
                <w:szCs w:val="21"/>
              </w:rPr>
              <w:t>9</w:t>
            </w:r>
          </w:p>
        </w:tc>
      </w:tr>
      <w:tr w14:paraId="6ACB064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9E75160">
            <w:pPr>
              <w:jc w:val="center"/>
            </w:pPr>
          </w:p>
        </w:tc>
        <w:tc>
          <w:tcPr>
            <w:tcW w:w="74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383F65AD">
            <w:pPr>
              <w:jc w:val="left"/>
            </w:pPr>
            <w:r>
              <w:rPr>
                <w:rFonts w:ascii="Times New Roman" w:hAnsi="Times New Roman" w:eastAsia="Times New Roman" w:cs="Times New Roman"/>
                <w:b w:val="0"/>
                <w:bCs w:val="0"/>
                <w:sz w:val="21"/>
                <w:szCs w:val="21"/>
                <w:lang w:val="en-US"/>
              </w:rPr>
              <w:t xml:space="preserve">     8.5  Gold Layer — Dimensional Star Schema</w:t>
            </w:r>
          </w:p>
        </w:tc>
        <w:tc>
          <w:tcPr>
            <w:tcW w:w="12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B7B5170">
            <w:pPr>
              <w:jc w:val="center"/>
            </w:pPr>
            <w:r>
              <w:rPr>
                <w:rFonts w:ascii="Times New Roman" w:hAnsi="Times New Roman" w:eastAsia="Times New Roman" w:cs="Times New Roman"/>
                <w:b w:val="0"/>
                <w:bCs w:val="0"/>
                <w:sz w:val="21"/>
                <w:szCs w:val="21"/>
              </w:rPr>
              <w:t>11</w:t>
            </w:r>
          </w:p>
        </w:tc>
      </w:tr>
      <w:tr w14:paraId="4BF770D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142B909">
            <w:pPr>
              <w:jc w:val="center"/>
            </w:pPr>
          </w:p>
        </w:tc>
        <w:tc>
          <w:tcPr>
            <w:tcW w:w="74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0A828D4F">
            <w:pPr>
              <w:jc w:val="left"/>
            </w:pPr>
            <w:r>
              <w:rPr>
                <w:rFonts w:ascii="Times New Roman" w:hAnsi="Times New Roman" w:eastAsia="Times New Roman" w:cs="Times New Roman"/>
                <w:b w:val="0"/>
                <w:bCs w:val="0"/>
                <w:sz w:val="21"/>
                <w:szCs w:val="21"/>
                <w:lang w:val="en-US"/>
              </w:rPr>
              <w:t xml:space="preserve">     8.6  Orchestration &amp; Automation — Dagster</w:t>
            </w:r>
          </w:p>
        </w:tc>
        <w:tc>
          <w:tcPr>
            <w:tcW w:w="12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713EB67F">
            <w:pPr>
              <w:jc w:val="center"/>
            </w:pPr>
            <w:r>
              <w:rPr>
                <w:rFonts w:ascii="Times New Roman" w:hAnsi="Times New Roman" w:eastAsia="Times New Roman" w:cs="Times New Roman"/>
                <w:b w:val="0"/>
                <w:bCs w:val="0"/>
                <w:sz w:val="21"/>
                <w:szCs w:val="21"/>
              </w:rPr>
              <w:t>13</w:t>
            </w:r>
          </w:p>
        </w:tc>
      </w:tr>
      <w:tr w14:paraId="77CD9BD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CDD8EDD">
            <w:pPr>
              <w:jc w:val="center"/>
            </w:pPr>
          </w:p>
        </w:tc>
        <w:tc>
          <w:tcPr>
            <w:tcW w:w="74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00AED155">
            <w:pPr>
              <w:jc w:val="left"/>
            </w:pPr>
            <w:r>
              <w:rPr>
                <w:rFonts w:ascii="Times New Roman" w:hAnsi="Times New Roman" w:eastAsia="Times New Roman" w:cs="Times New Roman"/>
                <w:b w:val="0"/>
                <w:bCs w:val="0"/>
                <w:sz w:val="21"/>
                <w:szCs w:val="21"/>
                <w:lang w:val="en-US"/>
              </w:rPr>
              <w:t xml:space="preserve">     8.7  Visualization — Streamlit in Snowflake</w:t>
            </w:r>
          </w:p>
        </w:tc>
        <w:tc>
          <w:tcPr>
            <w:tcW w:w="12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195F1A67">
            <w:pPr>
              <w:jc w:val="center"/>
            </w:pPr>
            <w:r>
              <w:rPr>
                <w:rFonts w:ascii="Times New Roman" w:hAnsi="Times New Roman" w:eastAsia="Times New Roman" w:cs="Times New Roman"/>
                <w:b w:val="0"/>
                <w:bCs w:val="0"/>
                <w:sz w:val="21"/>
                <w:szCs w:val="21"/>
              </w:rPr>
              <w:t>15</w:t>
            </w:r>
          </w:p>
        </w:tc>
      </w:tr>
      <w:tr w14:paraId="76F7E3B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9E05A00">
            <w:pPr>
              <w:jc w:val="center"/>
            </w:pPr>
          </w:p>
        </w:tc>
        <w:tc>
          <w:tcPr>
            <w:tcW w:w="74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907FCA8">
            <w:pPr>
              <w:jc w:val="left"/>
            </w:pPr>
            <w:r>
              <w:rPr>
                <w:rFonts w:ascii="Times New Roman" w:hAnsi="Times New Roman" w:eastAsia="Times New Roman" w:cs="Times New Roman"/>
                <w:b w:val="0"/>
                <w:bCs w:val="0"/>
                <w:sz w:val="21"/>
                <w:szCs w:val="21"/>
                <w:lang w:val="en-US"/>
              </w:rPr>
              <w:t xml:space="preserve">     8.8  Portfolio Assistant — Design Decision &amp; Implementation</w:t>
            </w:r>
          </w:p>
        </w:tc>
        <w:tc>
          <w:tcPr>
            <w:tcW w:w="12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5C74415">
            <w:pPr>
              <w:jc w:val="center"/>
            </w:pPr>
            <w:r>
              <w:rPr>
                <w:rFonts w:ascii="Times New Roman" w:hAnsi="Times New Roman" w:eastAsia="Times New Roman" w:cs="Times New Roman"/>
                <w:b w:val="0"/>
                <w:bCs w:val="0"/>
                <w:sz w:val="21"/>
                <w:szCs w:val="21"/>
              </w:rPr>
              <w:t>15</w:t>
            </w:r>
          </w:p>
        </w:tc>
      </w:tr>
      <w:tr w14:paraId="66C52F3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34D17584">
            <w:pPr>
              <w:jc w:val="center"/>
            </w:pPr>
            <w:r>
              <w:rPr>
                <w:rFonts w:ascii="Times New Roman" w:hAnsi="Times New Roman" w:eastAsia="Times New Roman" w:cs="Times New Roman"/>
                <w:b/>
                <w:bCs/>
                <w:sz w:val="21"/>
                <w:szCs w:val="21"/>
              </w:rPr>
              <w:t>9.</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79474258">
            <w:pPr>
              <w:jc w:val="left"/>
            </w:pPr>
            <w:r>
              <w:rPr>
                <w:rFonts w:ascii="Times New Roman" w:hAnsi="Times New Roman" w:eastAsia="Times New Roman" w:cs="Times New Roman"/>
                <w:b/>
                <w:bCs/>
                <w:sz w:val="21"/>
                <w:szCs w:val="21"/>
              </w:rPr>
              <w:t>Testing &amp; Validation</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618658B6">
            <w:pPr>
              <w:jc w:val="center"/>
            </w:pPr>
            <w:r>
              <w:rPr>
                <w:rFonts w:ascii="Times New Roman" w:hAnsi="Times New Roman" w:eastAsia="Times New Roman" w:cs="Times New Roman"/>
                <w:b/>
                <w:bCs/>
                <w:sz w:val="21"/>
                <w:szCs w:val="21"/>
              </w:rPr>
              <w:t>16</w:t>
            </w:r>
          </w:p>
        </w:tc>
      </w:tr>
      <w:tr w14:paraId="2E52F31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706EC362">
            <w:pPr>
              <w:jc w:val="center"/>
            </w:pPr>
            <w:r>
              <w:rPr>
                <w:rFonts w:ascii="Times New Roman" w:hAnsi="Times New Roman" w:eastAsia="Times New Roman" w:cs="Times New Roman"/>
                <w:b/>
                <w:bCs/>
                <w:sz w:val="21"/>
                <w:szCs w:val="21"/>
              </w:rPr>
              <w:t>10.</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2144AC88">
            <w:pPr>
              <w:jc w:val="left"/>
            </w:pPr>
            <w:r>
              <w:rPr>
                <w:rFonts w:ascii="Times New Roman" w:hAnsi="Times New Roman" w:eastAsia="Times New Roman" w:cs="Times New Roman"/>
                <w:b/>
                <w:bCs/>
                <w:sz w:val="21"/>
                <w:szCs w:val="21"/>
              </w:rPr>
              <w:t>Audit Logging &amp; Data Governance</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66A5EF63">
            <w:pPr>
              <w:jc w:val="center"/>
            </w:pPr>
            <w:r>
              <w:rPr>
                <w:rFonts w:ascii="Times New Roman" w:hAnsi="Times New Roman" w:eastAsia="Times New Roman" w:cs="Times New Roman"/>
                <w:b/>
                <w:bCs/>
                <w:sz w:val="21"/>
                <w:szCs w:val="21"/>
              </w:rPr>
              <w:t>17</w:t>
            </w:r>
          </w:p>
        </w:tc>
      </w:tr>
      <w:tr w14:paraId="57641B8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64FF10BE">
            <w:pPr>
              <w:jc w:val="center"/>
            </w:pPr>
            <w:r>
              <w:rPr>
                <w:rFonts w:ascii="Times New Roman" w:hAnsi="Times New Roman" w:eastAsia="Times New Roman" w:cs="Times New Roman"/>
                <w:b/>
                <w:bCs/>
                <w:sz w:val="21"/>
                <w:szCs w:val="21"/>
              </w:rPr>
              <w:t>11.</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3863F11C">
            <w:pPr>
              <w:jc w:val="left"/>
            </w:pPr>
            <w:r>
              <w:rPr>
                <w:rFonts w:ascii="Times New Roman" w:hAnsi="Times New Roman" w:eastAsia="Times New Roman" w:cs="Times New Roman"/>
                <w:b/>
                <w:bCs/>
                <w:sz w:val="21"/>
                <w:szCs w:val="21"/>
              </w:rPr>
              <w:t>Results</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63A4C2A0">
            <w:pPr>
              <w:jc w:val="center"/>
              <w:rPr>
                <w:rFonts w:ascii="Times New Roman" w:hAnsi="Times New Roman" w:eastAsia="Times New Roman" w:cs="Times New Roman"/>
                <w:b/>
                <w:bCs/>
                <w:sz w:val="21"/>
                <w:szCs w:val="21"/>
              </w:rPr>
            </w:pPr>
            <w:r>
              <w:rPr>
                <w:rFonts w:ascii="Times New Roman" w:hAnsi="Times New Roman" w:eastAsia="Times New Roman" w:cs="Times New Roman"/>
                <w:b/>
                <w:bCs/>
                <w:sz w:val="21"/>
                <w:szCs w:val="21"/>
              </w:rPr>
              <w:t>17</w:t>
            </w:r>
          </w:p>
        </w:tc>
      </w:tr>
      <w:tr w14:paraId="4FC771F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75D85995">
            <w:pPr>
              <w:jc w:val="center"/>
            </w:pPr>
            <w:r>
              <w:rPr>
                <w:rFonts w:ascii="Times New Roman" w:hAnsi="Times New Roman" w:eastAsia="Times New Roman" w:cs="Times New Roman"/>
                <w:b/>
                <w:bCs/>
                <w:sz w:val="21"/>
                <w:szCs w:val="21"/>
              </w:rPr>
              <w:t>12.</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3A5F9348">
            <w:pPr>
              <w:jc w:val="left"/>
            </w:pPr>
            <w:r>
              <w:rPr>
                <w:rFonts w:ascii="Times New Roman" w:hAnsi="Times New Roman" w:eastAsia="Times New Roman" w:cs="Times New Roman"/>
                <w:b/>
                <w:bCs/>
                <w:sz w:val="21"/>
                <w:szCs w:val="21"/>
              </w:rPr>
              <w:t>Future Scope</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28E49CB5">
            <w:pPr>
              <w:jc w:val="center"/>
              <w:rPr>
                <w:rFonts w:ascii="Times New Roman" w:hAnsi="Times New Roman" w:eastAsia="Times New Roman" w:cs="Times New Roman"/>
                <w:b/>
                <w:bCs/>
                <w:sz w:val="21"/>
                <w:szCs w:val="21"/>
              </w:rPr>
            </w:pPr>
            <w:r>
              <w:rPr>
                <w:rFonts w:ascii="Times New Roman" w:hAnsi="Times New Roman" w:eastAsia="Times New Roman" w:cs="Times New Roman"/>
                <w:b/>
                <w:bCs/>
                <w:sz w:val="21"/>
                <w:szCs w:val="21"/>
              </w:rPr>
              <w:t>18</w:t>
            </w:r>
          </w:p>
        </w:tc>
      </w:tr>
      <w:tr w14:paraId="100E216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5B646032">
            <w:pPr>
              <w:jc w:val="center"/>
            </w:pPr>
            <w:r>
              <w:rPr>
                <w:rFonts w:ascii="Times New Roman" w:hAnsi="Times New Roman" w:eastAsia="Times New Roman" w:cs="Times New Roman"/>
                <w:b/>
                <w:bCs/>
                <w:sz w:val="21"/>
                <w:szCs w:val="21"/>
              </w:rPr>
              <w:t>13.</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451F1A9F">
            <w:pPr>
              <w:jc w:val="left"/>
            </w:pPr>
            <w:r>
              <w:rPr>
                <w:rFonts w:ascii="Times New Roman" w:hAnsi="Times New Roman" w:eastAsia="Times New Roman" w:cs="Times New Roman"/>
                <w:b/>
                <w:bCs/>
                <w:sz w:val="21"/>
                <w:szCs w:val="21"/>
              </w:rPr>
              <w:t>Conclusion</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2901DECA">
            <w:pPr>
              <w:jc w:val="center"/>
            </w:pPr>
            <w:r>
              <w:rPr>
                <w:rFonts w:ascii="Times New Roman" w:hAnsi="Times New Roman" w:eastAsia="Times New Roman" w:cs="Times New Roman"/>
                <w:b/>
                <w:bCs/>
                <w:sz w:val="21"/>
                <w:szCs w:val="21"/>
              </w:rPr>
              <w:t>18</w:t>
            </w:r>
          </w:p>
        </w:tc>
      </w:tr>
      <w:tr w14:paraId="6BE1C2C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7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22BA7C3E">
            <w:pPr>
              <w:jc w:val="center"/>
            </w:pPr>
            <w:r>
              <w:rPr>
                <w:rFonts w:ascii="Times New Roman" w:hAnsi="Times New Roman" w:eastAsia="Times New Roman" w:cs="Times New Roman"/>
                <w:b/>
                <w:bCs/>
                <w:sz w:val="21"/>
                <w:szCs w:val="21"/>
              </w:rPr>
              <w:t>14.</w:t>
            </w:r>
          </w:p>
        </w:tc>
        <w:tc>
          <w:tcPr>
            <w:tcW w:w="746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59EA03DC">
            <w:pPr>
              <w:jc w:val="left"/>
            </w:pPr>
            <w:r>
              <w:rPr>
                <w:rFonts w:ascii="Times New Roman" w:hAnsi="Times New Roman" w:eastAsia="Times New Roman" w:cs="Times New Roman"/>
                <w:b/>
                <w:bCs/>
                <w:sz w:val="21"/>
                <w:szCs w:val="21"/>
              </w:rPr>
              <w:t>References</w:t>
            </w:r>
          </w:p>
        </w:tc>
        <w:tc>
          <w:tcPr>
            <w:tcW w:w="1200" w:type="dxa"/>
            <w:tcBorders>
              <w:top w:val="single" w:color="CCCCCC" w:sz="4" w:space="0"/>
              <w:left w:val="single" w:color="CCCCCC" w:sz="4" w:space="0"/>
              <w:bottom w:val="single" w:color="CCCCCC" w:sz="4" w:space="0"/>
              <w:right w:val="single" w:color="CCCCCC" w:sz="4" w:space="0"/>
            </w:tcBorders>
            <w:shd w:val="clear" w:color="auto" w:fill="EAEDF3"/>
            <w:tcMar>
              <w:top w:w="80" w:type="dxa"/>
              <w:left w:w="100" w:type="dxa"/>
              <w:bottom w:w="80" w:type="dxa"/>
              <w:right w:w="100" w:type="dxa"/>
            </w:tcMar>
            <w:vAlign w:val="center"/>
          </w:tcPr>
          <w:p w14:paraId="2A496C19">
            <w:pPr>
              <w:jc w:val="center"/>
            </w:pPr>
            <w:r>
              <w:rPr>
                <w:rFonts w:ascii="Times New Roman" w:hAnsi="Times New Roman" w:eastAsia="Times New Roman" w:cs="Times New Roman"/>
                <w:b/>
                <w:bCs/>
                <w:sz w:val="21"/>
                <w:szCs w:val="21"/>
              </w:rPr>
              <w:t>18</w:t>
            </w:r>
          </w:p>
        </w:tc>
      </w:tr>
    </w:tbl>
    <w:p w14:paraId="54DA6325">
      <w:r>
        <w:br w:type="page"/>
      </w:r>
    </w:p>
    <w:p w14:paraId="7F05A320">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1. Abstract</w:t>
      </w:r>
    </w:p>
    <w:p w14:paraId="6D7C3F04">
      <w:pPr>
        <w:spacing w:after="160" w:line="276" w:lineRule="auto"/>
        <w:jc w:val="both"/>
      </w:pPr>
      <w:r>
        <w:rPr>
          <w:rFonts w:ascii="Times New Roman" w:hAnsi="Times New Roman" w:eastAsia="Times New Roman" w:cs="Times New Roman"/>
        </w:rPr>
        <w:t>Lending institutions issue and manage large portfolios of consumer loans, and understanding risk at both the individual loan level and the aggregate portfolio level is critical to sound decision-making. This project builds a complete, production-style data engineering pipeline over the Lending Club loan origination dataset (2007–2018, 2.26 million records, 151 raw attributes) to segment borrowers by risk and analyze portfolio performance by vintage.</w:t>
      </w:r>
    </w:p>
    <w:p w14:paraId="659E5011">
      <w:pPr>
        <w:spacing w:after="160" w:line="276" w:lineRule="auto"/>
        <w:jc w:val="both"/>
      </w:pPr>
      <w:r>
        <w:rPr>
          <w:rFonts w:ascii="Times New Roman" w:hAnsi="Times New Roman" w:eastAsia="Times New Roman" w:cs="Times New Roman"/>
          <w:lang w:val="en-US"/>
        </w:rPr>
        <w:t>The pipeline ingests raw CSV data through Azure Blob Storage, loads it into a Bronze layer in Snowflake, and applies a medallion architecture (Bronze → Silver → Gold) using dbt running natively inside Snowflake. The Gold layer is modeled as a dimensional star schema with a central fact table and eight business-meaningful dimensions. The entire pipeline — from a new file landing in Blob storage through validated, tested Gold-layer tables — is orchestrated automatically using Dagster, with a sensor-based trigger and full audit logging at every layer. The final results are surfaced through an interactive Streamlit application, hosted natively in Snowflake, combining a multi-chart analytics dashboard with a guided Portfolio Assistant for ad-hoc, natural-language-style querying.</w:t>
      </w:r>
    </w:p>
    <w:p w14:paraId="54840457">
      <w:pPr>
        <w:spacing w:after="160" w:line="276" w:lineRule="auto"/>
        <w:jc w:val="both"/>
      </w:pPr>
      <w:r>
        <w:rPr>
          <w:rFonts w:ascii="Times New Roman" w:hAnsi="Times New Roman" w:eastAsia="Times New Roman" w:cs="Times New Roman"/>
        </w:rPr>
        <w:t>This document describes the problem, the architecture, the implementation steps, the testing and audit strategy, and the results of the project.</w:t>
      </w:r>
    </w:p>
    <w:p w14:paraId="35576FE4">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2. Problem Statement</w:t>
      </w:r>
    </w:p>
    <w:p w14:paraId="79CA9D50">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rPr>
          <w:sz w:val="22"/>
          <w:szCs w:val="22"/>
        </w:rPr>
      </w:pPr>
      <w:r>
        <w:rPr>
          <w:sz w:val="22"/>
          <w:szCs w:val="22"/>
        </w:rPr>
        <w:t>Lenders need portfolio-level visibility into loan risk across vintage, grade, borrower profile, and geography rather than evaluating defaults individually. The raw Lending Club dataset contains 2.26 million rows, inconsistent data types, and sparse fields such as hardship, settlement, and joint-applicant information, making reliable analysis challenging. This project addresses these issues by building a governed, tested, and automated pipeline that transforms raw loan data into a clean, well-modeled analytics layer for dashboarding and natural-language querying.</w:t>
      </w:r>
    </w:p>
    <w:p w14:paraId="24BDB346">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3. Objective</w:t>
      </w:r>
    </w:p>
    <w:p w14:paraId="7603CF5E">
      <w:pPr>
        <w:spacing w:after="160" w:line="276" w:lineRule="auto"/>
        <w:jc w:val="both"/>
      </w:pPr>
      <w:r>
        <w:rPr>
          <w:rFonts w:ascii="Times New Roman" w:hAnsi="Times New Roman" w:eastAsia="Times New Roman" w:cs="Times New Roman"/>
        </w:rPr>
        <w:t>Build an incremental, automated, and auditable data pipeline over Lending Club loan origination and repayment data that:</w:t>
      </w:r>
    </w:p>
    <w:p w14:paraId="02B8CD48">
      <w:pPr>
        <w:pStyle w:val="18"/>
        <w:keepLines/>
        <w:numPr>
          <w:ilvl w:val="0"/>
          <w:numId w:val="1"/>
        </w:numPr>
        <w:spacing w:after="100" w:line="276" w:lineRule="auto"/>
      </w:pPr>
      <w:r>
        <w:rPr>
          <w:rFonts w:ascii="Times New Roman" w:hAnsi="Times New Roman" w:eastAsia="Times New Roman" w:cs="Times New Roman"/>
          <w:b/>
          <w:bCs/>
        </w:rPr>
        <w:t>Segments borrowers by risk</w:t>
      </w:r>
      <w:r>
        <w:rPr>
          <w:rFonts w:ascii="Times New Roman" w:hAnsi="Times New Roman" w:eastAsia="Times New Roman" w:cs="Times New Roman"/>
        </w:rPr>
        <w:t xml:space="preserve"> using a well-designed dimensional model, not ad hoc queries.</w:t>
      </w:r>
    </w:p>
    <w:p w14:paraId="489D4AEC">
      <w:pPr>
        <w:pStyle w:val="18"/>
        <w:keepLines/>
        <w:numPr>
          <w:ilvl w:val="0"/>
          <w:numId w:val="1"/>
        </w:numPr>
        <w:spacing w:after="100" w:line="276" w:lineRule="auto"/>
      </w:pPr>
      <w:r>
        <w:rPr>
          <w:rFonts w:ascii="Times New Roman" w:hAnsi="Times New Roman" w:eastAsia="Times New Roman" w:cs="Times New Roman"/>
          <w:b/>
          <w:bCs/>
        </w:rPr>
        <w:t>Analyzes portfolio performance</w:t>
      </w:r>
      <w:r>
        <w:rPr>
          <w:rFonts w:ascii="Times New Roman" w:hAnsi="Times New Roman" w:eastAsia="Times New Roman" w:cs="Times New Roman"/>
        </w:rPr>
        <w:t xml:space="preserve"> by origination vintage (quarter/year).</w:t>
      </w:r>
    </w:p>
    <w:p w14:paraId="6C711E7E">
      <w:pPr>
        <w:pStyle w:val="18"/>
        <w:keepLines/>
        <w:numPr>
          <w:ilvl w:val="0"/>
          <w:numId w:val="1"/>
        </w:numPr>
        <w:spacing w:after="100" w:line="276" w:lineRule="auto"/>
      </w:pPr>
      <w:r>
        <w:rPr>
          <w:rFonts w:ascii="Times New Roman" w:hAnsi="Times New Roman" w:eastAsia="Times New Roman" w:cs="Times New Roman"/>
        </w:rPr>
        <w:t>Demonstrates real-world incremental loading, not just a one-time bulk load.</w:t>
      </w:r>
    </w:p>
    <w:p w14:paraId="6F45F9CD">
      <w:pPr>
        <w:pStyle w:val="18"/>
        <w:keepLines/>
        <w:numPr>
          <w:ilvl w:val="0"/>
          <w:numId w:val="1"/>
        </w:numPr>
        <w:spacing w:after="100" w:line="276" w:lineRule="auto"/>
      </w:pPr>
      <w:r>
        <w:rPr>
          <w:rFonts w:ascii="Times New Roman" w:hAnsi="Times New Roman" w:eastAsia="Times New Roman" w:cs="Times New Roman"/>
          <w:lang w:val="en-US"/>
        </w:rPr>
        <w:t>Is fully automated end-to-end: a new file landing in cloud storage should flow through to validated, dashboard-ready tables without manual intervention.</w:t>
      </w:r>
    </w:p>
    <w:p w14:paraId="05727B23">
      <w:pPr>
        <w:pStyle w:val="18"/>
        <w:keepLines/>
        <w:numPr>
          <w:ilvl w:val="0"/>
          <w:numId w:val="1"/>
        </w:numPr>
        <w:spacing w:after="100" w:line="276" w:lineRule="auto"/>
      </w:pPr>
      <w:r>
        <w:rPr>
          <w:rFonts w:ascii="Times New Roman" w:hAnsi="Times New Roman" w:eastAsia="Times New Roman" w:cs="Times New Roman"/>
          <w:lang w:val="en-US"/>
        </w:rPr>
        <w:t>Is auditable and testable at every layer, so that data quality can be proven, not assumed.</w:t>
      </w:r>
    </w:p>
    <w:p w14:paraId="48BEA6BE">
      <w:pPr>
        <w:pStyle w:val="18"/>
        <w:keepLines/>
        <w:numPr>
          <w:ilvl w:val="0"/>
          <w:numId w:val="1"/>
        </w:numPr>
        <w:spacing w:after="100" w:line="276" w:lineRule="auto"/>
      </w:pPr>
      <w:r>
        <w:rPr>
          <w:rFonts w:ascii="Times New Roman" w:hAnsi="Times New Roman" w:eastAsia="Times New Roman" w:cs="Times New Roman"/>
          <w:lang w:val="en-US"/>
        </w:rPr>
        <w:t>Surfaces results through an interactive, natural-language-queryable interface.</w:t>
      </w:r>
    </w:p>
    <w:p w14:paraId="6C012839">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4. Key Focus Areas</w:t>
      </w:r>
    </w:p>
    <w:p w14:paraId="26090C23">
      <w:pPr>
        <w:pStyle w:val="18"/>
        <w:keepLines/>
        <w:numPr>
          <w:ilvl w:val="0"/>
          <w:numId w:val="1"/>
        </w:numPr>
        <w:spacing w:after="100" w:line="276" w:lineRule="auto"/>
      </w:pPr>
      <w:r>
        <w:rPr>
          <w:rFonts w:ascii="Times New Roman" w:hAnsi="Times New Roman" w:eastAsia="Times New Roman" w:cs="Times New Roman"/>
          <w:b/>
          <w:bCs/>
          <w:lang w:val="en-US"/>
        </w:rPr>
        <w:t xml:space="preserve">Automated Data Pipeline: </w:t>
      </w:r>
      <w:r>
        <w:rPr>
          <w:rFonts w:ascii="Times New Roman" w:hAnsi="Times New Roman" w:eastAsia="Times New Roman" w:cs="Times New Roman"/>
          <w:lang w:val="en-US"/>
        </w:rPr>
        <w:t>Using Dagster to orchestrate ingestion detection, Bronze loading, and dbt transformations end-to-end.</w:t>
      </w:r>
    </w:p>
    <w:p w14:paraId="6A429D25">
      <w:pPr>
        <w:pStyle w:val="18"/>
        <w:keepLines/>
        <w:numPr>
          <w:ilvl w:val="0"/>
          <w:numId w:val="1"/>
        </w:numPr>
        <w:spacing w:after="100" w:line="276" w:lineRule="auto"/>
      </w:pPr>
      <w:r>
        <w:rPr>
          <w:rFonts w:ascii="Times New Roman" w:hAnsi="Times New Roman" w:eastAsia="Times New Roman" w:cs="Times New Roman"/>
          <w:b/>
          <w:bCs/>
          <w:lang w:val="en-US"/>
        </w:rPr>
        <w:t xml:space="preserve">Data Quality &amp; Enrichment: </w:t>
      </w:r>
      <w:r>
        <w:rPr>
          <w:rFonts w:ascii="Times New Roman" w:hAnsi="Times New Roman" w:eastAsia="Times New Roman" w:cs="Times New Roman"/>
          <w:lang w:val="en-US"/>
        </w:rPr>
        <w:t>Type standardization, validation flags, and derived business fields (risk segment, FICO average, credit history length) applied systematically in the Silver layer.</w:t>
      </w:r>
    </w:p>
    <w:p w14:paraId="21EB337C">
      <w:pPr>
        <w:pStyle w:val="18"/>
        <w:keepLines/>
        <w:numPr>
          <w:ilvl w:val="0"/>
          <w:numId w:val="1"/>
        </w:numPr>
        <w:spacing w:after="100" w:line="276" w:lineRule="auto"/>
      </w:pPr>
      <w:r>
        <w:rPr>
          <w:rFonts w:ascii="Times New Roman" w:hAnsi="Times New Roman" w:eastAsia="Times New Roman" w:cs="Times New Roman"/>
          <w:b/>
          <w:bCs/>
          <w:lang w:val="en-US"/>
        </w:rPr>
        <w:t xml:space="preserve">Scalable Storage &amp; Processing: </w:t>
      </w:r>
      <w:r>
        <w:rPr>
          <w:rFonts w:ascii="Times New Roman" w:hAnsi="Times New Roman" w:eastAsia="Times New Roman" w:cs="Times New Roman"/>
          <w:lang w:val="en-US"/>
        </w:rPr>
        <w:t>Azure Blob Storage for staging, Snowflake for structured storage and native compute.</w:t>
      </w:r>
    </w:p>
    <w:p w14:paraId="1AE08976">
      <w:pPr>
        <w:pStyle w:val="18"/>
        <w:keepLines/>
        <w:numPr>
          <w:ilvl w:val="0"/>
          <w:numId w:val="1"/>
        </w:numPr>
        <w:spacing w:after="100" w:line="276" w:lineRule="auto"/>
      </w:pPr>
      <w:r>
        <w:rPr>
          <w:rFonts w:ascii="Times New Roman" w:hAnsi="Times New Roman" w:eastAsia="Times New Roman" w:cs="Times New Roman"/>
          <w:b/>
          <w:bCs/>
          <w:lang w:val="en-US"/>
        </w:rPr>
        <w:t xml:space="preserve">Dimensional Modeling: </w:t>
      </w:r>
      <w:r>
        <w:rPr>
          <w:rFonts w:ascii="Times New Roman" w:hAnsi="Times New Roman" w:eastAsia="Times New Roman" w:cs="Times New Roman"/>
          <w:lang w:val="en-US"/>
        </w:rPr>
        <w:t>A star schema in the Gold layer with one fact table and eight business-meaningful, multi-attribute dimensions.</w:t>
      </w:r>
    </w:p>
    <w:p w14:paraId="66D76C23">
      <w:pPr>
        <w:pStyle w:val="18"/>
        <w:keepLines/>
        <w:numPr>
          <w:ilvl w:val="0"/>
          <w:numId w:val="1"/>
        </w:numPr>
        <w:spacing w:after="100" w:line="276" w:lineRule="auto"/>
      </w:pPr>
      <w:r>
        <w:rPr>
          <w:rFonts w:ascii="Times New Roman" w:hAnsi="Times New Roman" w:eastAsia="Times New Roman" w:cs="Times New Roman"/>
          <w:b/>
          <w:bCs/>
          <w:lang w:val="en-US"/>
        </w:rPr>
        <w:t xml:space="preserve">Native-Snowflake Execution: </w:t>
      </w:r>
      <w:r>
        <w:rPr>
          <w:rFonts w:ascii="Times New Roman" w:hAnsi="Times New Roman" w:eastAsia="Times New Roman" w:cs="Times New Roman"/>
          <w:lang w:val="en-US"/>
        </w:rPr>
        <w:t>dbt transformations and the Streamlit application both run natively inside Snowflake — no separate hosting or local execution infrastructure required.</w:t>
      </w:r>
    </w:p>
    <w:p w14:paraId="3B67324E">
      <w:pPr>
        <w:pStyle w:val="18"/>
        <w:keepLines/>
        <w:numPr>
          <w:ilvl w:val="0"/>
          <w:numId w:val="1"/>
        </w:numPr>
        <w:spacing w:after="100" w:line="276" w:lineRule="auto"/>
      </w:pPr>
      <w:r>
        <w:rPr>
          <w:rFonts w:ascii="Times New Roman" w:hAnsi="Times New Roman" w:eastAsia="Times New Roman" w:cs="Times New Roman"/>
          <w:b/>
          <w:bCs/>
        </w:rPr>
        <w:t xml:space="preserve">Governance: </w:t>
      </w:r>
      <w:r>
        <w:rPr>
          <w:rFonts w:ascii="Times New Roman" w:hAnsi="Times New Roman" w:eastAsia="Times New Roman" w:cs="Times New Roman"/>
        </w:rPr>
        <w:t>A shared audit log capturing every load and transformation across all three medallion layers, plus schema and business-logic tests at each stage.</w:t>
      </w:r>
    </w:p>
    <w:p w14:paraId="151C349C">
      <w:pPr>
        <w:pStyle w:val="18"/>
        <w:keepLines/>
        <w:numPr>
          <w:ilvl w:val="0"/>
          <w:numId w:val="1"/>
        </w:numPr>
        <w:spacing w:after="100" w:line="276" w:lineRule="auto"/>
      </w:pPr>
      <w:r>
        <w:rPr>
          <w:rFonts w:ascii="Times New Roman" w:hAnsi="Times New Roman" w:eastAsia="Times New Roman" w:cs="Times New Roman"/>
          <w:b/>
          <w:bCs/>
          <w:lang w:val="en-US"/>
        </w:rPr>
        <w:t xml:space="preserve">Interactive Analytics &amp; Guided Q&amp;A: </w:t>
      </w:r>
      <w:r>
        <w:rPr>
          <w:rFonts w:ascii="Times New Roman" w:hAnsi="Times New Roman" w:eastAsia="Times New Roman" w:cs="Times New Roman"/>
          <w:lang w:val="en-US"/>
        </w:rPr>
        <w:t>A Streamlit dashboard with adaptive, dimension-driven charts, plus a Portfolio Assistant that answers common risk and portfolio questions in plain language.</w:t>
      </w:r>
    </w:p>
    <w:p w14:paraId="3F245CC8">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5. Software &amp; Technical Specifications</w:t>
      </w:r>
    </w:p>
    <w:p w14:paraId="169AD81A">
      <w:pPr>
        <w:pStyle w:val="18"/>
        <w:keepLines/>
        <w:numPr>
          <w:ilvl w:val="0"/>
          <w:numId w:val="1"/>
        </w:numPr>
        <w:spacing w:after="100" w:line="276" w:lineRule="auto"/>
      </w:pPr>
      <w:r>
        <w:rPr>
          <w:rFonts w:ascii="Times New Roman" w:hAnsi="Times New Roman" w:eastAsia="Times New Roman" w:cs="Times New Roman"/>
          <w:b/>
          <w:bCs/>
        </w:rPr>
        <w:t xml:space="preserve">Programming Language: </w:t>
      </w:r>
      <w:r>
        <w:rPr>
          <w:rFonts w:ascii="Times New Roman" w:hAnsi="Times New Roman" w:eastAsia="Times New Roman" w:cs="Times New Roman"/>
        </w:rPr>
        <w:t>Python 3.x</w:t>
      </w:r>
    </w:p>
    <w:p w14:paraId="53E6B771">
      <w:pPr>
        <w:pStyle w:val="18"/>
        <w:keepLines/>
        <w:numPr>
          <w:ilvl w:val="0"/>
          <w:numId w:val="1"/>
        </w:numPr>
        <w:spacing w:after="100" w:line="276" w:lineRule="auto"/>
      </w:pPr>
      <w:r>
        <w:rPr>
          <w:rFonts w:ascii="Times New Roman" w:hAnsi="Times New Roman" w:eastAsia="Times New Roman" w:cs="Times New Roman"/>
          <w:b/>
          <w:bCs/>
          <w:lang w:val="en-US"/>
        </w:rPr>
        <w:t xml:space="preserve">Orchestration: </w:t>
      </w:r>
      <w:r>
        <w:rPr>
          <w:rFonts w:ascii="Times New Roman" w:hAnsi="Times New Roman" w:eastAsia="Times New Roman" w:cs="Times New Roman"/>
          <w:lang w:val="en-US"/>
        </w:rPr>
        <w:t>Dagster (sensor-based, event-driven)</w:t>
      </w:r>
    </w:p>
    <w:p w14:paraId="64F4AFDA">
      <w:pPr>
        <w:pStyle w:val="18"/>
        <w:keepLines/>
        <w:numPr>
          <w:ilvl w:val="0"/>
          <w:numId w:val="1"/>
        </w:numPr>
        <w:spacing w:after="100" w:line="276" w:lineRule="auto"/>
      </w:pPr>
      <w:r>
        <w:rPr>
          <w:rFonts w:ascii="Times New Roman" w:hAnsi="Times New Roman" w:eastAsia="Times New Roman" w:cs="Times New Roman"/>
          <w:b/>
          <w:bCs/>
        </w:rPr>
        <w:t xml:space="preserve">Cloud Storage: </w:t>
      </w:r>
      <w:r>
        <w:rPr>
          <w:rFonts w:ascii="Times New Roman" w:hAnsi="Times New Roman" w:eastAsia="Times New Roman" w:cs="Times New Roman"/>
        </w:rPr>
        <w:t>Azure Blob Storage</w:t>
      </w:r>
    </w:p>
    <w:p w14:paraId="6A383C20">
      <w:pPr>
        <w:pStyle w:val="18"/>
        <w:keepLines/>
        <w:numPr>
          <w:ilvl w:val="0"/>
          <w:numId w:val="1"/>
        </w:numPr>
        <w:spacing w:after="100" w:line="276" w:lineRule="auto"/>
      </w:pPr>
      <w:r>
        <w:rPr>
          <w:rFonts w:ascii="Times New Roman" w:hAnsi="Times New Roman" w:eastAsia="Times New Roman" w:cs="Times New Roman"/>
          <w:b/>
          <w:bCs/>
          <w:lang w:val="en-US"/>
        </w:rPr>
        <w:t xml:space="preserve">Data Warehouse &amp; Compute: </w:t>
      </w:r>
      <w:r>
        <w:rPr>
          <w:rFonts w:ascii="Times New Roman" w:hAnsi="Times New Roman" w:eastAsia="Times New Roman" w:cs="Times New Roman"/>
          <w:lang w:val="en-US"/>
        </w:rPr>
        <w:t>Snowflake (native dbt Projects, native Streamlit)</w:t>
      </w:r>
    </w:p>
    <w:p w14:paraId="62F50972">
      <w:pPr>
        <w:pStyle w:val="18"/>
        <w:keepLines/>
        <w:numPr>
          <w:ilvl w:val="0"/>
          <w:numId w:val="1"/>
        </w:numPr>
        <w:spacing w:after="100" w:line="276" w:lineRule="auto"/>
      </w:pPr>
      <w:r>
        <w:rPr>
          <w:rFonts w:ascii="Times New Roman" w:hAnsi="Times New Roman" w:eastAsia="Times New Roman" w:cs="Times New Roman"/>
          <w:b/>
          <w:bCs/>
          <w:lang w:val="en-US"/>
        </w:rPr>
        <w:t xml:space="preserve">Transformation: </w:t>
      </w:r>
      <w:r>
        <w:rPr>
          <w:rFonts w:ascii="Times New Roman" w:hAnsi="Times New Roman" w:eastAsia="Times New Roman" w:cs="Times New Roman"/>
          <w:lang w:val="en-US"/>
        </w:rPr>
        <w:t>dbt (dbt Projects on Snowflake — no local dbt install)</w:t>
      </w:r>
    </w:p>
    <w:p w14:paraId="1646F352">
      <w:pPr>
        <w:pStyle w:val="18"/>
        <w:keepLines/>
        <w:numPr>
          <w:ilvl w:val="0"/>
          <w:numId w:val="1"/>
        </w:numPr>
        <w:spacing w:after="100" w:line="276" w:lineRule="auto"/>
      </w:pPr>
      <w:r>
        <w:rPr>
          <w:rFonts w:ascii="Times New Roman" w:hAnsi="Times New Roman" w:eastAsia="Times New Roman" w:cs="Times New Roman"/>
          <w:b/>
          <w:bCs/>
          <w:lang w:val="en-US"/>
        </w:rPr>
        <w:t xml:space="preserve">Visualization: </w:t>
      </w:r>
      <w:r>
        <w:rPr>
          <w:rFonts w:ascii="Times New Roman" w:hAnsi="Times New Roman" w:eastAsia="Times New Roman" w:cs="Times New Roman"/>
          <w:lang w:val="en-US"/>
        </w:rPr>
        <w:t>Streamlit in Snowflake, Altair (adaptive multi-chart dashboard)</w:t>
      </w:r>
    </w:p>
    <w:p w14:paraId="2394FEB7">
      <w:pPr>
        <w:pStyle w:val="18"/>
        <w:keepLines/>
        <w:numPr>
          <w:ilvl w:val="0"/>
          <w:numId w:val="1"/>
        </w:numPr>
        <w:spacing w:after="100" w:line="276" w:lineRule="auto"/>
      </w:pPr>
      <w:r>
        <w:rPr>
          <w:rFonts w:ascii="Times New Roman" w:hAnsi="Times New Roman" w:eastAsia="Times New Roman" w:cs="Times New Roman"/>
          <w:b/>
          <w:bCs/>
        </w:rPr>
        <w:t xml:space="preserve">Additional Libraries: </w:t>
      </w:r>
      <w:r>
        <w:rPr>
          <w:rFonts w:ascii="Times New Roman" w:hAnsi="Times New Roman" w:eastAsia="Times New Roman" w:cs="Times New Roman"/>
        </w:rPr>
        <w:t>pandas, azure-storage-blob, snowflake-connector-python, faker (for simulated incremental test data)</w:t>
      </w:r>
    </w:p>
    <w:p w14:paraId="24089276">
      <w:pPr>
        <w:pStyle w:val="18"/>
        <w:keepLines/>
        <w:numPr>
          <w:ilvl w:val="0"/>
          <w:numId w:val="1"/>
        </w:numPr>
        <w:spacing w:after="100" w:line="276" w:lineRule="auto"/>
      </w:pPr>
      <w:r>
        <w:rPr>
          <w:rFonts w:ascii="Times New Roman" w:hAnsi="Times New Roman" w:eastAsia="Times New Roman" w:cs="Times New Roman"/>
          <w:b/>
          <w:bCs/>
        </w:rPr>
        <w:t xml:space="preserve">Version Control: </w:t>
      </w:r>
      <w:r>
        <w:rPr>
          <w:rFonts w:ascii="Times New Roman" w:hAnsi="Times New Roman" w:eastAsia="Times New Roman" w:cs="Times New Roman"/>
        </w:rPr>
        <w:t>Git</w:t>
      </w:r>
    </w:p>
    <w:p w14:paraId="1C508C93">
      <w:pPr>
        <w:pStyle w:val="2"/>
        <w:keepNext/>
        <w:keepLines/>
        <w:pBdr>
          <w:bottom w:val="single" w:color="C9A227" w:sz="8" w:space="4"/>
        </w:pBdr>
        <w:spacing w:before="360" w:after="160"/>
        <w:rPr>
          <w:rFonts w:ascii="Times New Roman" w:hAnsi="Times New Roman" w:eastAsia="Times New Roman" w:cs="Times New Roman"/>
          <w:b/>
          <w:bCs/>
          <w:color w:val="1B2A4A"/>
          <w:sz w:val="30"/>
          <w:szCs w:val="30"/>
        </w:rPr>
      </w:pPr>
    </w:p>
    <w:p w14:paraId="3AFC3184">
      <w:pPr>
        <w:pStyle w:val="2"/>
        <w:keepNext/>
        <w:keepLines/>
        <w:pBdr>
          <w:bottom w:val="single" w:color="C9A227" w:sz="8" w:space="4"/>
        </w:pBdr>
        <w:spacing w:before="360" w:after="160"/>
        <w:rPr>
          <w:rFonts w:ascii="Times New Roman" w:hAnsi="Times New Roman" w:eastAsia="Times New Roman" w:cs="Times New Roman"/>
          <w:b/>
          <w:bCs/>
          <w:color w:val="1B2A4A"/>
          <w:sz w:val="30"/>
          <w:szCs w:val="30"/>
        </w:rPr>
      </w:pPr>
    </w:p>
    <w:p w14:paraId="498A81D6">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6. Architecture</w:t>
      </w:r>
    </w:p>
    <w:p w14:paraId="75B3A6B0">
      <w:pPr>
        <w:spacing w:after="160" w:line="276" w:lineRule="auto"/>
        <w:jc w:val="both"/>
      </w:pPr>
      <w:r>
        <w:rPr>
          <w:rFonts w:ascii="Times New Roman" w:hAnsi="Times New Roman" w:eastAsia="Times New Roman" w:cs="Times New Roman"/>
          <w:lang w:val="en-US"/>
        </w:rPr>
        <w:t>The architecture follows a medallion (Bronze/Silver/Gold) pattern, with every transformation stage running natively inside Snowflake to minimize infrastructure overhead, and Dagster providing event-driven orchestration across the whole chain.</w:t>
      </w:r>
    </w:p>
    <w:p w14:paraId="43EC4E2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437630" cy="4333875"/>
            <wp:effectExtent l="0" t="0" r="1270" b="952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5"/>
                    <a:stretch>
                      <a:fillRect/>
                    </a:stretch>
                  </pic:blipFill>
                  <pic:spPr>
                    <a:xfrm>
                      <a:off x="0" y="0"/>
                      <a:ext cx="6437630" cy="4333875"/>
                    </a:xfrm>
                    <a:prstGeom prst="rect">
                      <a:avLst/>
                    </a:prstGeom>
                    <a:noFill/>
                    <a:ln w="9525">
                      <a:noFill/>
                    </a:ln>
                  </pic:spPr>
                </pic:pic>
              </a:graphicData>
            </a:graphic>
          </wp:inline>
        </w:drawing>
      </w:r>
    </w:p>
    <w:p w14:paraId="51F8557C">
      <w:pPr>
        <w:pStyle w:val="15"/>
        <w:keepNext w:val="0"/>
        <w:keepLines w:val="0"/>
        <w:widowControl/>
        <w:suppressLineNumbers w:val="0"/>
      </w:pPr>
    </w:p>
    <w:p w14:paraId="0B25CFAD">
      <w:pPr>
        <w:keepLines/>
        <w:spacing w:before="160" w:after="40"/>
        <w:jc w:val="center"/>
      </w:pPr>
    </w:p>
    <w:p w14:paraId="1F00D8C0">
      <w:pPr>
        <w:spacing w:before="60" w:after="240"/>
        <w:jc w:val="center"/>
      </w:pPr>
      <w:r>
        <w:rPr>
          <w:rFonts w:ascii="Times New Roman" w:hAnsi="Times New Roman" w:eastAsia="Times New Roman" w:cs="Times New Roman"/>
          <w:i/>
          <w:iCs/>
          <w:color w:val="6B7280"/>
          <w:sz w:val="20"/>
          <w:szCs w:val="20"/>
        </w:rPr>
        <w:t>Figure 6.1 — End-to-end system architecture</w:t>
      </w:r>
    </w:p>
    <w:p w14:paraId="45BF3866">
      <w:pPr>
        <w:spacing w:after="160" w:line="276" w:lineRule="auto"/>
        <w:jc w:val="both"/>
        <w:rPr>
          <w:rFonts w:ascii="Times New Roman" w:hAnsi="Times New Roman" w:eastAsia="Times New Roman" w:cs="Times New Roman"/>
        </w:rPr>
      </w:pPr>
    </w:p>
    <w:p w14:paraId="2EABCF27">
      <w:r>
        <w:br w:type="page"/>
      </w:r>
    </w:p>
    <w:p w14:paraId="12EC4A34">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7. Flow Overview</w:t>
      </w:r>
    </w:p>
    <w:p w14:paraId="272949CC">
      <w:pPr>
        <w:keepLines/>
        <w:spacing w:before="160" w:after="40"/>
        <w:jc w:val="center"/>
      </w:pPr>
      <w:r>
        <w:drawing>
          <wp:inline distT="0" distB="0" distL="0" distR="0">
            <wp:extent cx="3838575" cy="401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3838575" cy="4019550"/>
                    </a:xfrm>
                    <a:prstGeom prst="rect">
                      <a:avLst/>
                    </a:prstGeom>
                  </pic:spPr>
                </pic:pic>
              </a:graphicData>
            </a:graphic>
          </wp:inline>
        </w:drawing>
      </w:r>
    </w:p>
    <w:p w14:paraId="4AC021FF">
      <w:pPr>
        <w:spacing w:before="60" w:after="240"/>
        <w:jc w:val="center"/>
      </w:pPr>
      <w:r>
        <w:rPr>
          <w:rFonts w:ascii="Times New Roman" w:hAnsi="Times New Roman" w:eastAsia="Times New Roman" w:cs="Times New Roman"/>
          <w:i/>
          <w:iCs/>
          <w:color w:val="6B7280"/>
          <w:sz w:val="20"/>
          <w:szCs w:val="20"/>
        </w:rPr>
        <w:t>Figure 7.1 — Process flow from source file to dashboard</w:t>
      </w:r>
    </w:p>
    <w:p w14:paraId="3C6C016D">
      <w:pPr>
        <w:pStyle w:val="18"/>
        <w:keepLines/>
        <w:numPr>
          <w:ilvl w:val="0"/>
          <w:numId w:val="1"/>
        </w:numPr>
        <w:spacing w:after="100" w:line="276" w:lineRule="auto"/>
      </w:pPr>
      <w:r>
        <w:rPr>
          <w:rFonts w:ascii="Times New Roman" w:hAnsi="Times New Roman" w:eastAsia="Times New Roman" w:cs="Times New Roman"/>
        </w:rPr>
        <w:t>A CSV file lands in the Azure Blob Storage landing/ container (from the client, or a simulated incremental generator).</w:t>
      </w:r>
    </w:p>
    <w:p w14:paraId="70F54B9C">
      <w:pPr>
        <w:pStyle w:val="18"/>
        <w:keepLines/>
        <w:numPr>
          <w:ilvl w:val="0"/>
          <w:numId w:val="1"/>
        </w:numPr>
        <w:spacing w:after="100" w:line="276" w:lineRule="auto"/>
      </w:pPr>
      <w:r>
        <w:rPr>
          <w:rFonts w:ascii="Times New Roman" w:hAnsi="Times New Roman" w:eastAsia="Times New Roman" w:cs="Times New Roman"/>
          <w:lang w:val="en-US"/>
        </w:rPr>
        <w:t>A Dagster sensor polls the container every 30 seconds and detects new, previously unseen files.</w:t>
      </w:r>
    </w:p>
    <w:p w14:paraId="3581E48C">
      <w:pPr>
        <w:pStyle w:val="18"/>
        <w:keepLines/>
        <w:numPr>
          <w:ilvl w:val="0"/>
          <w:numId w:val="1"/>
        </w:numPr>
        <w:spacing w:after="100" w:line="276" w:lineRule="auto"/>
      </w:pPr>
      <w:r>
        <w:rPr>
          <w:rFonts w:ascii="Times New Roman" w:hAnsi="Times New Roman" w:eastAsia="Times New Roman" w:cs="Times New Roman"/>
          <w:lang w:val="en-US"/>
        </w:rPr>
        <w:t>The detected file triggers the Bronze load: a Snowflake COPY INTO statement loads the raw data as-is (all columns as VARCHAR) into the Bronze table, skipping any file already loaded.</w:t>
      </w:r>
    </w:p>
    <w:p w14:paraId="72C263A5">
      <w:pPr>
        <w:pStyle w:val="18"/>
        <w:keepLines/>
        <w:numPr>
          <w:ilvl w:val="0"/>
          <w:numId w:val="1"/>
        </w:numPr>
        <w:spacing w:after="100" w:line="276" w:lineRule="auto"/>
      </w:pPr>
      <w:r>
        <w:rPr>
          <w:rFonts w:ascii="Times New Roman" w:hAnsi="Times New Roman" w:eastAsia="Times New Roman" w:cs="Times New Roman"/>
          <w:lang w:val="en-US"/>
        </w:rPr>
        <w:t>A native Snowflake dbt project rebuilds the Silver layer: cleaning, typing, validating, and enriching the data.</w:t>
      </w:r>
    </w:p>
    <w:p w14:paraId="49CF2A85">
      <w:pPr>
        <w:pStyle w:val="18"/>
        <w:keepLines/>
        <w:numPr>
          <w:ilvl w:val="0"/>
          <w:numId w:val="1"/>
        </w:numPr>
        <w:spacing w:after="100" w:line="276" w:lineRule="auto"/>
      </w:pPr>
      <w:r>
        <w:rPr>
          <w:rFonts w:ascii="Times New Roman" w:hAnsi="Times New Roman" w:eastAsia="Times New Roman" w:cs="Times New Roman"/>
          <w:lang w:val="en-US"/>
        </w:rPr>
        <w:t>The same dbt project rebuilds the Gold layer: eight dimension tables, one incremental fact table, and pre-aggregated summary marts.</w:t>
      </w:r>
    </w:p>
    <w:p w14:paraId="6C033F4B">
      <w:pPr>
        <w:pStyle w:val="18"/>
        <w:keepLines/>
        <w:numPr>
          <w:ilvl w:val="0"/>
          <w:numId w:val="1"/>
        </w:numPr>
        <w:spacing w:after="100" w:line="276" w:lineRule="auto"/>
      </w:pPr>
      <w:r>
        <w:rPr>
          <w:rFonts w:ascii="Times New Roman" w:hAnsi="Times New Roman" w:eastAsia="Times New Roman" w:cs="Times New Roman"/>
          <w:lang w:val="en-US"/>
        </w:rPr>
        <w:t>Every stage writes a row to a shared audit log table, independent of the BI layer.</w:t>
      </w:r>
    </w:p>
    <w:p w14:paraId="3EB5A7CC">
      <w:pPr>
        <w:pStyle w:val="18"/>
        <w:keepLines/>
        <w:numPr>
          <w:ilvl w:val="0"/>
          <w:numId w:val="1"/>
        </w:numPr>
        <w:spacing w:after="100" w:line="276" w:lineRule="auto"/>
      </w:pPr>
      <w:r>
        <w:rPr>
          <w:rFonts w:ascii="Times New Roman" w:hAnsi="Times New Roman" w:eastAsia="Times New Roman" w:cs="Times New Roman"/>
          <w:lang w:val="en-US"/>
        </w:rPr>
        <w:t>The Streamlit application, running natively in Snowflake, queries the Gold layer directly to render the dashboard and power the AI assistant.</w:t>
      </w:r>
    </w:p>
    <w:p w14:paraId="7BCFF3BD">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8. Project Implementation Steps</w:t>
      </w:r>
    </w:p>
    <w:p w14:paraId="38AB9400">
      <w:pPr>
        <w:pStyle w:val="3"/>
        <w:keepNext/>
        <w:keepLines/>
        <w:spacing w:before="280" w:after="140"/>
      </w:pPr>
      <w:r>
        <w:rPr>
          <w:rFonts w:ascii="Times New Roman" w:hAnsi="Times New Roman" w:eastAsia="Times New Roman" w:cs="Times New Roman"/>
          <w:b/>
          <w:bCs/>
          <w:color w:val="1B2A4A"/>
          <w:sz w:val="25"/>
          <w:szCs w:val="25"/>
        </w:rPr>
        <w:t>8.1 Snowflake &amp; Azure Environment Setup</w:t>
      </w:r>
    </w:p>
    <w:p w14:paraId="2BC10566">
      <w:pPr>
        <w:pStyle w:val="18"/>
        <w:keepLines/>
        <w:numPr>
          <w:ilvl w:val="0"/>
          <w:numId w:val="1"/>
        </w:numPr>
        <w:spacing w:after="100" w:line="276" w:lineRule="auto"/>
      </w:pPr>
      <w:r>
        <w:rPr>
          <w:rFonts w:ascii="Times New Roman" w:hAnsi="Times New Roman" w:eastAsia="Times New Roman" w:cs="Times New Roman"/>
        </w:rPr>
        <w:t>Created a Snowflake trial account on Microsoft Azure infrastructure, in the same region as the Azure resource group, to minimize latency and egress.</w:t>
      </w:r>
    </w:p>
    <w:p w14:paraId="580C5B0B">
      <w:pPr>
        <w:pStyle w:val="18"/>
        <w:keepLines/>
        <w:numPr>
          <w:ilvl w:val="0"/>
          <w:numId w:val="1"/>
        </w:numPr>
        <w:spacing w:after="100" w:line="276" w:lineRule="auto"/>
      </w:pPr>
      <w:r>
        <w:rPr>
          <w:rFonts w:ascii="Times New Roman" w:hAnsi="Times New Roman" w:eastAsia="Times New Roman" w:cs="Times New Roman"/>
        </w:rPr>
        <w:t>Created an XSMALL warehouse with AUTO_SUSPEND = 60s and AUTO_RESUME = TRUE to minimize trial credit usage.</w:t>
      </w:r>
    </w:p>
    <w:p w14:paraId="257F2C4F">
      <w:pPr>
        <w:pStyle w:val="18"/>
        <w:keepLines/>
        <w:numPr>
          <w:ilvl w:val="0"/>
          <w:numId w:val="1"/>
        </w:numPr>
        <w:spacing w:after="100" w:line="276" w:lineRule="auto"/>
      </w:pPr>
      <w:r>
        <w:rPr>
          <w:rFonts w:ascii="Times New Roman" w:hAnsi="Times New Roman" w:eastAsia="Times New Roman" w:cs="Times New Roman"/>
        </w:rPr>
        <w:t>Created three schemas mapping directly to the medallion layers: RAW (Bronze), SILVER, and GOLD.</w:t>
      </w:r>
    </w:p>
    <w:p w14:paraId="22751DF4">
      <w:pPr>
        <w:pStyle w:val="18"/>
        <w:keepLines/>
        <w:numPr>
          <w:ilvl w:val="0"/>
          <w:numId w:val="1"/>
        </w:numPr>
        <w:spacing w:after="100" w:line="276" w:lineRule="auto"/>
      </w:pPr>
      <w:r>
        <w:rPr>
          <w:rFonts w:ascii="Times New Roman" w:hAnsi="Times New Roman" w:eastAsia="Times New Roman" w:cs="Times New Roman"/>
          <w:lang w:val="en-US"/>
        </w:rPr>
        <w:t>Created an Azure Storage Account and a Blob container (lendingclub-raw) with a landing/ prefix as the ingestion zone.</w:t>
      </w:r>
    </w:p>
    <w:p w14:paraId="23ADB15C">
      <w:pPr>
        <w:pStyle w:val="18"/>
        <w:keepLines/>
        <w:numPr>
          <w:ilvl w:val="0"/>
          <w:numId w:val="1"/>
        </w:numPr>
        <w:spacing w:after="100" w:line="276" w:lineRule="auto"/>
      </w:pPr>
      <w:r>
        <w:rPr>
          <w:rFonts w:ascii="Times New Roman" w:hAnsi="Times New Roman" w:eastAsia="Times New Roman" w:cs="Times New Roman"/>
        </w:rPr>
        <w:t>Connected Snowflake to the Blob container via an external stage using a SAS token (a Storage Integration with a service principal is the production-grade alternative; SAS was chosen for faster setup on a trial account).</w:t>
      </w:r>
    </w:p>
    <w:tbl>
      <w:tblPr>
        <w:tblStyle w:val="9"/>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80"/>
        <w:gridCol w:w="4680"/>
      </w:tblGrid>
      <w:tr w14:paraId="5095D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80" w:type="dxa"/>
            <w:tcBorders>
              <w:top w:val="single" w:color="000000" w:themeColor="text1" w:sz="0" w:space="0"/>
              <w:left w:val="single" w:color="000000" w:themeColor="text1" w:sz="0" w:space="0"/>
              <w:bottom w:val="single" w:color="000000" w:themeColor="text1" w:sz="0" w:space="0"/>
              <w:right w:val="single" w:color="000000" w:themeColor="text1" w:sz="0" w:space="0"/>
            </w:tcBorders>
            <w:vAlign w:val="center"/>
          </w:tcPr>
          <w:p w14:paraId="488641F2">
            <w:pPr>
              <w:jc w:val="center"/>
            </w:pPr>
            <w:r>
              <w:drawing>
                <wp:inline distT="0" distB="0" distL="114300" distR="114300">
                  <wp:extent cx="2739390" cy="1219200"/>
                  <wp:effectExtent l="0" t="0" r="0" b="0"/>
                  <wp:docPr id="1294950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50571" name="drawing"/>
                          <pic:cNvPicPr>
                            <a:picLocks noChangeAspect="1"/>
                          </pic:cNvPicPr>
                        </pic:nvPicPr>
                        <pic:blipFill>
                          <a:blip r:embed="rId7"/>
                          <a:stretch>
                            <a:fillRect/>
                          </a:stretch>
                        </pic:blipFill>
                        <pic:spPr>
                          <a:xfrm>
                            <a:off x="0" y="0"/>
                            <a:ext cx="2739898" cy="1219200"/>
                          </a:xfrm>
                          <a:prstGeom prst="rect">
                            <a:avLst/>
                          </a:prstGeom>
                        </pic:spPr>
                      </pic:pic>
                    </a:graphicData>
                  </a:graphic>
                </wp:inline>
              </w:drawing>
            </w:r>
          </w:p>
        </w:tc>
        <w:tc>
          <w:tcPr>
            <w:tcW w:w="4680" w:type="dxa"/>
            <w:tcBorders>
              <w:top w:val="single" w:color="000000" w:themeColor="text1" w:sz="0" w:space="0"/>
              <w:left w:val="single" w:color="000000" w:themeColor="text1" w:sz="0" w:space="0"/>
              <w:bottom w:val="single" w:color="000000" w:themeColor="text1" w:sz="0" w:space="0"/>
              <w:right w:val="single" w:color="000000" w:themeColor="text1" w:sz="0" w:space="0"/>
            </w:tcBorders>
            <w:vAlign w:val="center"/>
          </w:tcPr>
          <w:p w14:paraId="02EC5554">
            <w:pPr>
              <w:jc w:val="center"/>
            </w:pPr>
            <w:r>
              <w:drawing>
                <wp:inline distT="0" distB="0" distL="114300" distR="114300">
                  <wp:extent cx="2739390" cy="1407795"/>
                  <wp:effectExtent l="0" t="0" r="0" b="0"/>
                  <wp:docPr id="101899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9258" name="drawing"/>
                          <pic:cNvPicPr>
                            <a:picLocks noChangeAspect="1"/>
                          </pic:cNvPicPr>
                        </pic:nvPicPr>
                        <pic:blipFill>
                          <a:blip r:embed="rId8"/>
                          <a:stretch>
                            <a:fillRect/>
                          </a:stretch>
                        </pic:blipFill>
                        <pic:spPr>
                          <a:xfrm>
                            <a:off x="0" y="0"/>
                            <a:ext cx="2739898" cy="1408270"/>
                          </a:xfrm>
                          <a:prstGeom prst="rect">
                            <a:avLst/>
                          </a:prstGeom>
                        </pic:spPr>
                      </pic:pic>
                    </a:graphicData>
                  </a:graphic>
                </wp:inline>
              </w:drawing>
            </w:r>
          </w:p>
        </w:tc>
      </w:tr>
    </w:tbl>
    <w:p w14:paraId="46EEDE76">
      <w:pPr>
        <w:pStyle w:val="3"/>
        <w:keepNext/>
        <w:keepLines/>
        <w:spacing w:before="280" w:after="140"/>
      </w:pPr>
      <w:r>
        <w:rPr>
          <w:rFonts w:ascii="Times New Roman" w:hAnsi="Times New Roman" w:eastAsia="Times New Roman" w:cs="Times New Roman"/>
          <w:b/>
          <w:bCs/>
          <w:color w:val="1B2A4A"/>
          <w:sz w:val="25"/>
          <w:szCs w:val="25"/>
        </w:rPr>
        <w:t>8.2 Data Ingestion — Landing Zone</w:t>
      </w:r>
    </w:p>
    <w:p w14:paraId="79E503A1">
      <w:pPr>
        <w:spacing w:after="160" w:line="276" w:lineRule="auto"/>
        <w:jc w:val="both"/>
      </w:pPr>
      <w:r>
        <w:rPr>
          <w:rFonts w:ascii="Times New Roman" w:hAnsi="Times New Roman" w:eastAsia="Times New Roman" w:cs="Times New Roman"/>
        </w:rPr>
        <w:t>The raw dataset (2,260,701 rows, 151 columns) is written to the Blob landing/ zone. Two ingestion paths were built:</w:t>
      </w:r>
    </w:p>
    <w:p w14:paraId="32457F6E">
      <w:pPr>
        <w:pStyle w:val="18"/>
        <w:keepLines/>
        <w:numPr>
          <w:ilvl w:val="0"/>
          <w:numId w:val="1"/>
        </w:numPr>
        <w:spacing w:after="100" w:line="276" w:lineRule="auto"/>
      </w:pPr>
      <w:r>
        <w:rPr>
          <w:rFonts w:ascii="Times New Roman" w:hAnsi="Times New Roman" w:eastAsia="Times New Roman" w:cs="Times New Roman"/>
          <w:b/>
          <w:bCs/>
        </w:rPr>
        <w:t xml:space="preserve">Bulk historical load: </w:t>
      </w:r>
      <w:r>
        <w:rPr>
          <w:rFonts w:ascii="Times New Roman" w:hAnsi="Times New Roman" w:eastAsia="Times New Roman" w:cs="Times New Roman"/>
        </w:rPr>
        <w:t>The full dataset, split by origination year into a historical bucket (2007–2015) and yearly incremental files (2016, 2017, 2018), uploaded once to simulate a realistic backfill.</w:t>
      </w:r>
    </w:p>
    <w:p w14:paraId="3308A82C">
      <w:pPr>
        <w:pStyle w:val="18"/>
        <w:keepLines/>
        <w:numPr>
          <w:ilvl w:val="0"/>
          <w:numId w:val="1"/>
        </w:numPr>
        <w:spacing w:after="100" w:line="276" w:lineRule="auto"/>
      </w:pPr>
      <w:r>
        <w:rPr>
          <w:rFonts w:ascii="Times New Roman" w:hAnsi="Times New Roman" w:eastAsia="Times New Roman" w:cs="Times New Roman"/>
          <w:b/>
          <w:bCs/>
        </w:rPr>
        <w:t xml:space="preserve">Simulated live ingestion: </w:t>
      </w:r>
      <w:r>
        <w:rPr>
          <w:rFonts w:ascii="Times New Roman" w:hAnsi="Times New Roman" w:eastAsia="Times New Roman" w:cs="Times New Roman"/>
        </w:rPr>
        <w:t>A Python script using the Faker library generates new synthetic loan records matching the exact source schema and uploads them directly to landing/ with a timestamped filename — this simulates a client dropping a genuinely new file, without needing to wait for real new data.</w:t>
      </w:r>
    </w:p>
    <w:p w14:paraId="7692A437">
      <w:pPr>
        <w:spacing w:after="160" w:line="276" w:lineRule="auto"/>
        <w:jc w:val="both"/>
      </w:pPr>
      <w:r>
        <w:rPr>
          <w:rFonts w:ascii="Times New Roman" w:hAnsi="Times New Roman" w:eastAsia="Times New Roman" w:cs="Times New Roman"/>
          <w:lang w:val="en-US"/>
        </w:rPr>
        <w:t>All uploads are logged (file name, byte size comparison between local and remote, duration, success/failure) to a local audit log and a JSON summary, and verified with an automated test script before being considered complete.</w:t>
      </w:r>
    </w:p>
    <w:p w14:paraId="24AE08B4">
      <w:pPr>
        <w:pStyle w:val="3"/>
        <w:keepNext/>
        <w:keepLines/>
        <w:spacing w:before="280" w:after="140"/>
      </w:pPr>
      <w:r>
        <w:rPr>
          <w:rFonts w:ascii="Times New Roman" w:hAnsi="Times New Roman" w:eastAsia="Times New Roman" w:cs="Times New Roman"/>
          <w:b/>
          <w:bCs/>
          <w:color w:val="1B2A4A"/>
          <w:sz w:val="25"/>
          <w:szCs w:val="25"/>
        </w:rPr>
        <w:t>8.3 Bronze Layer — Snowflake Raw Ingestion</w:t>
      </w:r>
    </w:p>
    <w:p w14:paraId="0AD073C2">
      <w:pPr>
        <w:spacing w:after="160" w:line="276" w:lineRule="auto"/>
        <w:jc w:val="both"/>
      </w:pPr>
      <w:r>
        <w:rPr>
          <w:rFonts w:ascii="Times New Roman" w:hAnsi="Times New Roman" w:eastAsia="Times New Roman" w:cs="Times New Roman"/>
          <w:lang w:val="en-US"/>
        </w:rPr>
        <w:t>A single Bronze table (LOANS_RAW) holds all 151 source columns, every one typed as VARCHAR/STRING, plus two metadata columns: _SOURCE_FILE and _LOADED_AT. Loading everything as text at this layer is a deliberate medallion-architecture principle — Bronze should never fail or drop rows due to a type-casting problem; that responsibility belongs to Silver.</w:t>
      </w:r>
    </w:p>
    <w:p w14:paraId="702CF854">
      <w:pPr>
        <w:pStyle w:val="18"/>
        <w:keepLines/>
        <w:numPr>
          <w:ilvl w:val="0"/>
          <w:numId w:val="1"/>
        </w:numPr>
        <w:spacing w:after="100" w:line="276" w:lineRule="auto"/>
      </w:pPr>
      <w:r>
        <w:rPr>
          <w:rFonts w:ascii="Times New Roman" w:hAnsi="Times New Roman" w:eastAsia="Times New Roman" w:cs="Times New Roman"/>
        </w:rPr>
        <w:t>A COPY INTO statement loads all files under landing/ into LOANS_RAW.</w:t>
      </w:r>
    </w:p>
    <w:p w14:paraId="4B0FB12B">
      <w:pPr>
        <w:pStyle w:val="18"/>
        <w:keepLines/>
        <w:numPr>
          <w:ilvl w:val="0"/>
          <w:numId w:val="1"/>
        </w:numPr>
        <w:spacing w:after="100" w:line="276" w:lineRule="auto"/>
      </w:pPr>
      <w:r>
        <w:rPr>
          <w:rFonts w:ascii="Times New Roman" w:hAnsi="Times New Roman" w:eastAsia="Times New Roman" w:cs="Times New Roman"/>
          <w:lang w:val="en-US"/>
        </w:rPr>
        <w:t>Snowflake's COPY INTO automatically tracks which files have already been loaded and skips them on subsequent runs — this is what makes it safe to re-run on a schedule without creating duplicates.</w:t>
      </w:r>
    </w:p>
    <w:p w14:paraId="72F4E1C0">
      <w:pPr>
        <w:pStyle w:val="18"/>
        <w:keepLines/>
        <w:numPr>
          <w:ilvl w:val="0"/>
          <w:numId w:val="1"/>
        </w:numPr>
        <w:spacing w:after="100" w:line="276" w:lineRule="auto"/>
      </w:pPr>
      <w:r>
        <w:rPr>
          <w:rFonts w:ascii="Times New Roman" w:hAnsi="Times New Roman" w:eastAsia="Times New Roman" w:cs="Times New Roman"/>
        </w:rPr>
        <w:t>Every load is independently verifiable via Snowflake's native INFORMATION_SCHEMA.COPY_HISTORY, which records file name, row counts, and load status.</w:t>
      </w:r>
    </w:p>
    <w:p w14:paraId="7F3EBA3D">
      <w:pPr>
        <w:keepLines/>
        <w:spacing w:before="160" w:after="40"/>
        <w:jc w:val="center"/>
      </w:pPr>
      <w:r>
        <w:drawing>
          <wp:inline distT="0" distB="0" distL="114300" distR="114300">
            <wp:extent cx="5848350" cy="2343150"/>
            <wp:effectExtent l="0" t="0" r="0" b="0"/>
            <wp:docPr id="931515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15193" name="drawing"/>
                    <pic:cNvPicPr>
                      <a:picLocks noChangeAspect="1"/>
                    </pic:cNvPicPr>
                  </pic:nvPicPr>
                  <pic:blipFill>
                    <a:blip r:embed="rId9"/>
                    <a:stretch>
                      <a:fillRect/>
                    </a:stretch>
                  </pic:blipFill>
                  <pic:spPr>
                    <a:xfrm>
                      <a:off x="0" y="0"/>
                      <a:ext cx="5848502" cy="2343150"/>
                    </a:xfrm>
                    <a:prstGeom prst="rect">
                      <a:avLst/>
                    </a:prstGeom>
                  </pic:spPr>
                </pic:pic>
              </a:graphicData>
            </a:graphic>
          </wp:inline>
        </w:drawing>
      </w:r>
    </w:p>
    <w:p w14:paraId="6C8D32E4">
      <w:pPr>
        <w:pStyle w:val="3"/>
        <w:keepNext/>
        <w:keepLines/>
        <w:spacing w:before="280" w:after="140"/>
      </w:pPr>
      <w:r>
        <w:rPr>
          <w:rFonts w:ascii="Times New Roman" w:hAnsi="Times New Roman" w:eastAsia="Times New Roman" w:cs="Times New Roman"/>
          <w:b/>
          <w:bCs/>
          <w:color w:val="1B2A4A"/>
          <w:sz w:val="25"/>
          <w:szCs w:val="25"/>
          <w:lang w:val="en-US"/>
        </w:rPr>
        <w:t>8.4 Silver Layer — Native dbt Transformation</w:t>
      </w:r>
    </w:p>
    <w:p w14:paraId="105B4C43">
      <w:pPr>
        <w:spacing w:after="160" w:line="276" w:lineRule="auto"/>
        <w:jc w:val="both"/>
      </w:pPr>
      <w:r>
        <w:rPr>
          <w:rFonts w:ascii="Times New Roman" w:hAnsi="Times New Roman" w:eastAsia="Times New Roman" w:cs="Times New Roman"/>
          <w:lang w:val="en-US"/>
        </w:rPr>
        <w:t>The Silver layer is now built around a single shared model, int_loans_cleaned, organized as a long sequence of named CTEs (source_selected → deduped → numeric_standardized → date_standardized → text_standardized → zip_standardized → missing_handled → enriched → validated → quality_checked) so each transformation concept is independently identifiable and testable. Both stg_loans (rows that pass data quality) and stg_loans_rejected (rows that fail) select from this one model, so all cleaning and validation logic lives in exactly one place instead of being duplicated. This view is materialized via the folder-level config in dbt_project.yml, and the shared post-hook there fires log_layer_audit('SILVER', this) automatically — no per-model audit wiring needed.</w:t>
      </w:r>
    </w:p>
    <w:p w14:paraId="704E3D9A">
      <w:pPr>
        <w:spacing w:after="160" w:line="276" w:lineRule="auto"/>
        <w:jc w:val="both"/>
      </w:pPr>
      <w:r>
        <w:rPr>
          <w:rFonts w:ascii="Times New Roman" w:hAnsi="Times New Roman" w:eastAsia="Times New Roman" w:cs="Times New Roman"/>
          <w:lang w:val="en-US"/>
        </w:rPr>
        <w:t>48 of the 151 raw columns from the mentor's scoped list are carried through, plus one additional support column, earliest_cr_line, which is not on that list but is required to compute credit_history_years and to run the Credit History Validation check — both of which the mentor's own requirements call for. This is flagged explicitly here rather than left as a silent scope change.</w:t>
      </w:r>
    </w:p>
    <w:p w14:paraId="0DBB84C2">
      <w:pPr>
        <w:spacing w:after="160" w:line="276" w:lineRule="auto"/>
        <w:jc w:val="both"/>
      </w:pPr>
      <w:r>
        <w:rPr>
          <w:rFonts w:ascii="Times New Roman" w:hAnsi="Times New Roman" w:eastAsia="Times New Roman" w:cs="Times New Roman"/>
          <w:b/>
          <w:bCs/>
        </w:rPr>
        <w:t>Transformations applied, in order:</w:t>
      </w:r>
    </w:p>
    <w:p w14:paraId="2BDA8304">
      <w:pPr>
        <w:pStyle w:val="18"/>
        <w:keepLines/>
        <w:numPr>
          <w:ilvl w:val="0"/>
          <w:numId w:val="1"/>
        </w:numPr>
        <w:spacing w:after="100" w:line="276" w:lineRule="auto"/>
      </w:pPr>
      <w:r>
        <w:rPr>
          <w:rFonts w:ascii="Times New Roman" w:hAnsi="Times New Roman" w:eastAsia="Times New Roman" w:cs="Times New Roman"/>
          <w:lang w:val="en-US"/>
        </w:rPr>
        <w:t>Column selection, restricted to the mentor-scoped list plus earliest_cr_line, with a not-null filter on loan id.</w:t>
      </w:r>
    </w:p>
    <w:p w14:paraId="17916B95">
      <w:pPr>
        <w:pStyle w:val="18"/>
        <w:keepLines/>
        <w:numPr>
          <w:ilvl w:val="0"/>
          <w:numId w:val="1"/>
        </w:numPr>
        <w:spacing w:after="100" w:line="276" w:lineRule="auto"/>
      </w:pPr>
      <w:r>
        <w:rPr>
          <w:rFonts w:ascii="Times New Roman" w:hAnsi="Times New Roman" w:eastAsia="Times New Roman" w:cs="Times New Roman"/>
          <w:lang w:val="en-US"/>
        </w:rPr>
        <w:t>De-duplication using QUALIFY ROW_NUMBER() partitioned by loan id, keeping the most recently loaded record.</w:t>
      </w:r>
    </w:p>
    <w:p w14:paraId="698D2DFF">
      <w:pPr>
        <w:pStyle w:val="18"/>
        <w:keepLines/>
        <w:numPr>
          <w:ilvl w:val="0"/>
          <w:numId w:val="1"/>
        </w:numPr>
        <w:spacing w:after="100" w:line="276" w:lineRule="auto"/>
      </w:pPr>
      <w:r>
        <w:rPr>
          <w:rFonts w:ascii="Times New Roman" w:hAnsi="Times New Roman" w:eastAsia="Times New Roman" w:cs="Times New Roman"/>
          <w:lang w:val="en-US"/>
        </w:rPr>
        <w:t>Numeric standardization using TRY_TO_NUMBER on every measure column, stripping “%” from rate/utilization fields and “ months” from term, so a bad source value becomes null instead of failing the whole load.</w:t>
      </w:r>
    </w:p>
    <w:p w14:paraId="4BCF47A4">
      <w:pPr>
        <w:pStyle w:val="18"/>
        <w:keepLines/>
        <w:numPr>
          <w:ilvl w:val="0"/>
          <w:numId w:val="1"/>
        </w:numPr>
        <w:spacing w:after="100" w:line="276" w:lineRule="auto"/>
      </w:pPr>
      <w:r>
        <w:rPr>
          <w:rFonts w:ascii="Times New Roman" w:hAnsi="Times New Roman" w:eastAsia="Times New Roman" w:cs="Times New Roman"/>
          <w:lang w:val="en-US"/>
        </w:rPr>
        <w:t>Date standardization via TRY_TO_DATE on issue_d and earliest_cr_line (“MON-YYYY” text into real DATE types).</w:t>
      </w:r>
    </w:p>
    <w:p w14:paraId="5CD24AFD">
      <w:pPr>
        <w:pStyle w:val="18"/>
        <w:keepLines/>
        <w:numPr>
          <w:ilvl w:val="0"/>
          <w:numId w:val="1"/>
        </w:numPr>
        <w:spacing w:after="100" w:line="276" w:lineRule="auto"/>
      </w:pPr>
      <w:r>
        <w:rPr>
          <w:rFonts w:ascii="Times New Roman" w:hAnsi="Times New Roman" w:eastAsia="Times New Roman" w:cs="Times New Roman"/>
        </w:rPr>
        <w:t>Text standardization on every categorical field (grade, sub-grade, home ownership, verification status, purpose, state, application type, hardship/debt-settlement flags) via consistent TRIM plus UPPER or INITCAP casing.</w:t>
      </w:r>
    </w:p>
    <w:p w14:paraId="59D48C84">
      <w:pPr>
        <w:pStyle w:val="18"/>
        <w:keepLines/>
        <w:numPr>
          <w:ilvl w:val="0"/>
          <w:numId w:val="1"/>
        </w:numPr>
        <w:spacing w:after="100" w:line="276" w:lineRule="auto"/>
      </w:pPr>
      <w:r>
        <w:rPr>
          <w:rFonts w:ascii="Times New Roman" w:hAnsi="Times New Roman" w:eastAsia="Times New Roman" w:cs="Times New Roman"/>
          <w:lang w:val="en-US"/>
        </w:rPr>
        <w:t>Missing-value handling with business-appropriate defaults rather than silent nulls (emp_length → 'Unknown', dti/mort_acc/tot_coll_amt/delinq_amt/pub_rec_bankruptcies → 0).</w:t>
      </w:r>
    </w:p>
    <w:p w14:paraId="5C4DAB4A">
      <w:pPr>
        <w:pStyle w:val="18"/>
        <w:keepLines/>
        <w:numPr>
          <w:ilvl w:val="0"/>
          <w:numId w:val="1"/>
        </w:numPr>
        <w:spacing w:after="100" w:line="276" w:lineRule="auto"/>
      </w:pPr>
      <w:r>
        <w:rPr>
          <w:rFonts w:ascii="Times New Roman" w:hAnsi="Times New Roman" w:eastAsia="Times New Roman" w:cs="Times New Roman"/>
          <w:lang w:val="en-US"/>
        </w:rPr>
        <w:t>Derived / enrichment columns: fico_avg, credit_history_years, vintage_year and vintage_quarter, loan_age_months, is_default, risk_segment (Prime / Near-Prime / Subprime / Deep-Subprime), income_band, emp_length_bucket, us_region, purpose_category, int_rate_band, and revol_util_band.</w:t>
      </w:r>
    </w:p>
    <w:p w14:paraId="10368E8D">
      <w:pPr>
        <w:pStyle w:val="18"/>
        <w:keepLines/>
        <w:numPr>
          <w:ilvl w:val="0"/>
          <w:numId w:val="1"/>
        </w:numPr>
        <w:spacing w:after="100" w:line="276" w:lineRule="auto"/>
      </w:pPr>
      <w:r>
        <w:rPr>
          <w:rFonts w:ascii="Times New Roman" w:hAnsi="Times New Roman" w:eastAsia="Times New Roman" w:cs="Times New Roman"/>
          <w:lang w:val="en-US"/>
        </w:rPr>
        <w:t>14 explicit boolean validation checks — state, loan status, grade, FICO range, financials, loan amount, DTI, interest rate, revolving utilization, payment, credit history, revolving balance, credit accounts, and loan date — each computed as its own is_valid_* column.</w:t>
      </w:r>
    </w:p>
    <w:p w14:paraId="65264206">
      <w:pPr>
        <w:pStyle w:val="18"/>
        <w:keepLines/>
        <w:numPr>
          <w:ilvl w:val="0"/>
          <w:numId w:val="1"/>
        </w:numPr>
        <w:spacing w:after="100" w:line="276" w:lineRule="auto"/>
      </w:pPr>
      <w:r>
        <w:rPr>
          <w:rFonts w:ascii="Times New Roman" w:hAnsi="Times New Roman" w:eastAsia="Times New Roman" w:cs="Times New Roman"/>
          <w:lang w:val="en-US"/>
        </w:rPr>
        <w:t>A single rolled-up is_dq_passed flag (all 14 checks ANDed together) plus a human-readable dq_fail_reasons array (via ARRAY_TO_STRING/ARRAY_CONSTRUCT_COMPACT) that names exactly which checks failed, so a quarantined row is debuggable without re-deriving the logic.</w:t>
      </w:r>
    </w:p>
    <w:p w14:paraId="7DC6131F">
      <w:pPr>
        <w:pStyle w:val="18"/>
        <w:keepLines/>
        <w:numPr>
          <w:ilvl w:val="0"/>
          <w:numId w:val="1"/>
        </w:numPr>
        <w:spacing w:after="100" w:line="276" w:lineRule="auto"/>
      </w:pPr>
      <w:r>
        <w:rPr>
          <w:rFonts w:ascii="Times New Roman" w:hAnsi="Times New Roman" w:eastAsia="Times New Roman" w:cs="Times New Roman"/>
          <w:lang w:val="en-US"/>
        </w:rPr>
        <w:t>Three composite dimension keys — borrower_key, credit_profile_key, and loan_terms_key — built by concatenating the relevant standardized fields, so the Gold layer can join to dimensions without repeating the bucketing logic.</w:t>
      </w:r>
    </w:p>
    <w:p w14:paraId="0E514882">
      <w:pPr>
        <w:pStyle w:val="18"/>
        <w:keepLines/>
        <w:numPr>
          <w:ilvl w:val="0"/>
          <w:numId w:val="1"/>
        </w:numPr>
        <w:spacing w:after="100" w:line="276" w:lineRule="auto"/>
      </w:pPr>
      <w:r>
        <w:rPr>
          <w:rFonts w:ascii="Times New Roman" w:hAnsi="Times New Roman" w:eastAsia="Times New Roman" w:cs="Times New Roman"/>
          <w:lang w:val="en-US"/>
        </w:rPr>
        <w:t>Audit columns (_source_file, _loaded_at, _silver_processed_at) carried through to the final SELECT for full lineage back to the Bronze load.</w:t>
      </w:r>
    </w:p>
    <w:p w14:paraId="0B8C3010">
      <w:pPr>
        <w:keepLines/>
        <w:spacing w:before="160" w:after="40"/>
        <w:jc w:val="center"/>
      </w:pPr>
      <w:r>
        <w:drawing>
          <wp:inline distT="0" distB="0" distL="114300" distR="114300">
            <wp:extent cx="5943600" cy="2867025"/>
            <wp:effectExtent l="0" t="0" r="0" b="0"/>
            <wp:docPr id="1422635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35374" name="drawing"/>
                    <pic:cNvPicPr>
                      <a:picLocks noChangeAspect="1"/>
                    </pic:cNvPicPr>
                  </pic:nvPicPr>
                  <pic:blipFill>
                    <a:blip r:embed="rId10"/>
                    <a:stretch>
                      <a:fillRect/>
                    </a:stretch>
                  </pic:blipFill>
                  <pic:spPr>
                    <a:xfrm>
                      <a:off x="0" y="0"/>
                      <a:ext cx="5943600" cy="2867025"/>
                    </a:xfrm>
                    <a:prstGeom prst="rect">
                      <a:avLst/>
                    </a:prstGeom>
                  </pic:spPr>
                </pic:pic>
              </a:graphicData>
            </a:graphic>
          </wp:inline>
        </w:drawing>
      </w:r>
    </w:p>
    <w:p w14:paraId="4B91CD60">
      <w:pPr>
        <w:pStyle w:val="3"/>
        <w:keepNext/>
        <w:keepLines/>
        <w:spacing w:before="280" w:after="140"/>
      </w:pPr>
      <w:r>
        <w:rPr>
          <w:rFonts w:ascii="Times New Roman" w:hAnsi="Times New Roman" w:eastAsia="Times New Roman" w:cs="Times New Roman"/>
          <w:b/>
          <w:bCs/>
          <w:color w:val="1B2A4A"/>
          <w:sz w:val="25"/>
          <w:szCs w:val="25"/>
        </w:rPr>
        <w:t>8.5 Gold Layer — Dimensional Star Schema</w:t>
      </w:r>
    </w:p>
    <w:p w14:paraId="454A3C14">
      <w:pPr>
        <w:spacing w:after="160" w:line="276" w:lineRule="auto"/>
        <w:jc w:val="both"/>
      </w:pPr>
      <w:r>
        <w:rPr>
          <w:rFonts w:ascii="Times New Roman" w:hAnsi="Times New Roman" w:eastAsia="Times New Roman" w:cs="Times New Roman"/>
          <w:lang w:val="en-US"/>
        </w:rPr>
        <w:t>The Gold layer is modeled as a star schema: one incremental fact table (fct_loans) and eight dimension tables, each grouping related business attributes rather than a single column, so that each dimension answers a specific real analytical question. The dimension set was expanded from the original five to eight so that vintage cohorting, loan purpose, and loan outcome each get their own dedicated dimension instead of being folded into date, credit-profile, or status flags — separating "what was sold" (dim_loan_terms), "who bought it" (dim_borrower), "why they borrowed" (dim_purpose), "what happened" (dim_loan_status), and "when, and against what cohort" (dim_date / dim_vintage) is a deliberate Kimball-style design choice.</w:t>
      </w:r>
    </w:p>
    <w:tbl>
      <w:tblPr>
        <w:tblStyle w:val="9"/>
        <w:tblW w:w="936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1900"/>
        <w:gridCol w:w="3800"/>
        <w:gridCol w:w="3660"/>
      </w:tblGrid>
      <w:tr w14:paraId="3560AF3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blHeader/>
        </w:trPr>
        <w:tc>
          <w:tcPr>
            <w:tcW w:w="190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5D24F040">
            <w:pPr>
              <w:jc w:val="center"/>
            </w:pPr>
            <w:r>
              <w:rPr>
                <w:rFonts w:ascii="Times New Roman" w:hAnsi="Times New Roman" w:eastAsia="Times New Roman" w:cs="Times New Roman"/>
                <w:b/>
                <w:bCs/>
                <w:color w:val="FFFFFF"/>
                <w:sz w:val="21"/>
                <w:szCs w:val="21"/>
              </w:rPr>
              <w:t>Dimension</w:t>
            </w:r>
          </w:p>
        </w:tc>
        <w:tc>
          <w:tcPr>
            <w:tcW w:w="380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5C5F9ED4">
            <w:pPr>
              <w:jc w:val="center"/>
            </w:pPr>
            <w:r>
              <w:rPr>
                <w:rFonts w:ascii="Times New Roman" w:hAnsi="Times New Roman" w:eastAsia="Times New Roman" w:cs="Times New Roman"/>
                <w:b/>
                <w:bCs/>
                <w:color w:val="FFFFFF"/>
                <w:sz w:val="21"/>
                <w:szCs w:val="21"/>
              </w:rPr>
              <w:t>Key Columns</w:t>
            </w:r>
          </w:p>
        </w:tc>
        <w:tc>
          <w:tcPr>
            <w:tcW w:w="366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1DB3C20A">
            <w:pPr>
              <w:jc w:val="center"/>
            </w:pPr>
            <w:r>
              <w:rPr>
                <w:rFonts w:ascii="Times New Roman" w:hAnsi="Times New Roman" w:eastAsia="Times New Roman" w:cs="Times New Roman"/>
                <w:b/>
                <w:bCs/>
                <w:color w:val="FFFFFF"/>
                <w:sz w:val="21"/>
                <w:szCs w:val="21"/>
              </w:rPr>
              <w:t>Business Question It Answers</w:t>
            </w:r>
          </w:p>
        </w:tc>
      </w:tr>
      <w:tr w14:paraId="04FC5FE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9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73E056B">
            <w:pPr>
              <w:jc w:val="left"/>
            </w:pPr>
            <w:r>
              <w:rPr>
                <w:rFonts w:ascii="Times New Roman" w:hAnsi="Times New Roman" w:eastAsia="Times New Roman" w:cs="Times New Roman"/>
                <w:sz w:val="21"/>
                <w:szCs w:val="21"/>
                <w:lang w:val="en-US"/>
              </w:rPr>
              <w:t>dim_date</w:t>
            </w:r>
          </w:p>
        </w:tc>
        <w:tc>
          <w:tcPr>
            <w:tcW w:w="38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D92EA1C">
            <w:pPr>
              <w:jc w:val="left"/>
            </w:pPr>
            <w:r>
              <w:rPr>
                <w:rFonts w:ascii="Times New Roman" w:hAnsi="Times New Roman" w:eastAsia="Times New Roman" w:cs="Times New Roman"/>
                <w:sz w:val="21"/>
                <w:szCs w:val="21"/>
                <w:lang w:val="en-US"/>
              </w:rPr>
              <w:t>calendar_year, month_name, year_quarter_label, season, half_year, months_since_issue</w:t>
            </w:r>
          </w:p>
        </w:tc>
        <w:tc>
          <w:tcPr>
            <w:tcW w:w="36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0C7D2CDA">
            <w:pPr>
              <w:jc w:val="left"/>
            </w:pPr>
            <w:r>
              <w:rPr>
                <w:rFonts w:ascii="Times New Roman" w:hAnsi="Times New Roman" w:eastAsia="Times New Roman" w:cs="Times New Roman"/>
                <w:sz w:val="21"/>
                <w:szCs w:val="21"/>
              </w:rPr>
              <w:t>Enables seasonality, trend, and year-over-year comparison without runtime date math.</w:t>
            </w:r>
          </w:p>
        </w:tc>
      </w:tr>
      <w:tr w14:paraId="2F874AC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9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3E18E94F">
            <w:pPr>
              <w:jc w:val="left"/>
            </w:pPr>
            <w:r>
              <w:rPr>
                <w:rFonts w:ascii="Times New Roman" w:hAnsi="Times New Roman" w:eastAsia="Times New Roman" w:cs="Times New Roman"/>
                <w:sz w:val="21"/>
                <w:szCs w:val="21"/>
                <w:lang w:val="en-US"/>
              </w:rPr>
              <w:t>dim_borrower</w:t>
            </w:r>
          </w:p>
        </w:tc>
        <w:tc>
          <w:tcPr>
            <w:tcW w:w="38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3E467E7C">
            <w:pPr>
              <w:jc w:val="left"/>
            </w:pPr>
            <w:r>
              <w:rPr>
                <w:rFonts w:ascii="Times New Roman" w:hAnsi="Times New Roman" w:eastAsia="Times New Roman" w:cs="Times New Roman"/>
                <w:sz w:val="21"/>
                <w:szCs w:val="21"/>
                <w:lang w:val="en-US"/>
              </w:rPr>
              <w:t>income_band, emp_length_bucket, employment_stability_score, borrower_trust_level, housing_stability</w:t>
            </w:r>
          </w:p>
        </w:tc>
        <w:tc>
          <w:tcPr>
            <w:tcW w:w="36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674E1E63">
            <w:pPr>
              <w:jc w:val="left"/>
            </w:pPr>
            <w:r>
              <w:rPr>
                <w:rFonts w:ascii="Times New Roman" w:hAnsi="Times New Roman" w:eastAsia="Times New Roman" w:cs="Times New Roman"/>
                <w:sz w:val="21"/>
                <w:szCs w:val="21"/>
                <w:lang w:val="en-US"/>
              </w:rPr>
              <w:t>Who tends to default — a socioeconomic segmentation of the borrower's overall profile.</w:t>
            </w:r>
          </w:p>
        </w:tc>
      </w:tr>
      <w:tr w14:paraId="6F7C650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9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05B28BF">
            <w:pPr>
              <w:jc w:val="left"/>
            </w:pPr>
            <w:r>
              <w:rPr>
                <w:rFonts w:ascii="Times New Roman" w:hAnsi="Times New Roman" w:eastAsia="Times New Roman" w:cs="Times New Roman"/>
                <w:sz w:val="21"/>
                <w:szCs w:val="21"/>
                <w:lang w:val="en-US"/>
              </w:rPr>
              <w:t>dim_geography</w:t>
            </w:r>
          </w:p>
        </w:tc>
        <w:tc>
          <w:tcPr>
            <w:tcW w:w="38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16379C4B">
            <w:pPr>
              <w:jc w:val="left"/>
            </w:pPr>
            <w:r>
              <w:rPr>
                <w:rFonts w:ascii="Times New Roman" w:hAnsi="Times New Roman" w:eastAsia="Times New Roman" w:cs="Times New Roman"/>
                <w:sz w:val="21"/>
                <w:szCs w:val="21"/>
                <w:lang w:val="en-US"/>
              </w:rPr>
              <w:t>us_region, market_size_tier, regulatory_environment, cost_of_living_tier, geographic_risk_zone</w:t>
            </w:r>
          </w:p>
        </w:tc>
        <w:tc>
          <w:tcPr>
            <w:tcW w:w="36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D4E5D8C">
            <w:pPr>
              <w:jc w:val="left"/>
            </w:pPr>
            <w:r>
              <w:rPr>
                <w:rFonts w:ascii="Times New Roman" w:hAnsi="Times New Roman" w:eastAsia="Times New Roman" w:cs="Times New Roman"/>
                <w:sz w:val="21"/>
                <w:szCs w:val="21"/>
              </w:rPr>
              <w:t>Regional risk varies by regulation, cost-of-living, and market maturity.</w:t>
            </w:r>
          </w:p>
        </w:tc>
      </w:tr>
      <w:tr w14:paraId="47A682F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9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136BD57B">
            <w:pPr>
              <w:jc w:val="left"/>
            </w:pPr>
            <w:r>
              <w:rPr>
                <w:rFonts w:ascii="Times New Roman" w:hAnsi="Times New Roman" w:eastAsia="Times New Roman" w:cs="Times New Roman"/>
                <w:sz w:val="21"/>
                <w:szCs w:val="21"/>
                <w:lang w:val="en-US"/>
              </w:rPr>
              <w:t>dim_purpose</w:t>
            </w:r>
          </w:p>
        </w:tc>
        <w:tc>
          <w:tcPr>
            <w:tcW w:w="38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1C3444D3">
            <w:pPr>
              <w:jc w:val="left"/>
            </w:pPr>
            <w:r>
              <w:rPr>
                <w:rFonts w:ascii="Times New Roman" w:hAnsi="Times New Roman" w:eastAsia="Times New Roman" w:cs="Times New Roman"/>
                <w:sz w:val="21"/>
                <w:szCs w:val="21"/>
                <w:lang w:val="en-US"/>
              </w:rPr>
              <w:t>purpose_category, borrower_intent, purpose_risk_expectation, portfolio_strategy_bucket, typical_loan_size</w:t>
            </w:r>
          </w:p>
        </w:tc>
        <w:tc>
          <w:tcPr>
            <w:tcW w:w="36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3CED1923">
            <w:pPr>
              <w:jc w:val="left"/>
            </w:pPr>
            <w:r>
              <w:rPr>
                <w:rFonts w:ascii="Times New Roman" w:hAnsi="Times New Roman" w:eastAsia="Times New Roman" w:cs="Times New Roman"/>
                <w:sz w:val="21"/>
                <w:szCs w:val="21"/>
              </w:rPr>
              <w:t>Stated loan purpose is one of the strongest behavioral predictors after FICO.</w:t>
            </w:r>
          </w:p>
        </w:tc>
      </w:tr>
      <w:tr w14:paraId="44E26D3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9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59783684">
            <w:pPr>
              <w:jc w:val="left"/>
            </w:pPr>
            <w:r>
              <w:rPr>
                <w:rFonts w:ascii="Times New Roman" w:hAnsi="Times New Roman" w:eastAsia="Times New Roman" w:cs="Times New Roman"/>
                <w:sz w:val="21"/>
                <w:szCs w:val="21"/>
                <w:lang w:val="en-US"/>
              </w:rPr>
              <w:t>dim_loan_status</w:t>
            </w:r>
          </w:p>
        </w:tc>
        <w:tc>
          <w:tcPr>
            <w:tcW w:w="38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77B67941">
            <w:pPr>
              <w:jc w:val="left"/>
            </w:pPr>
            <w:r>
              <w:rPr>
                <w:rFonts w:ascii="Times New Roman" w:hAnsi="Times New Roman" w:eastAsia="Times New Roman" w:cs="Times New Roman"/>
                <w:sz w:val="21"/>
                <w:szCs w:val="21"/>
                <w:lang w:val="en-US"/>
              </w:rPr>
              <w:t>performance_category, delinquency_stage, loss_severity_bucket, ifrs9_stage, is_defaulted</w:t>
            </w:r>
          </w:p>
        </w:tc>
        <w:tc>
          <w:tcPr>
            <w:tcW w:w="36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0518F85">
            <w:pPr>
              <w:jc w:val="left"/>
            </w:pPr>
            <w:r>
              <w:rPr>
                <w:rFonts w:ascii="Times New Roman" w:hAnsi="Times New Roman" w:eastAsia="Times New Roman" w:cs="Times New Roman"/>
                <w:sz w:val="21"/>
                <w:szCs w:val="21"/>
              </w:rPr>
              <w:t>The outcome dimension — models the full delinquency funnel, not just a binary default flag.</w:t>
            </w:r>
          </w:p>
        </w:tc>
      </w:tr>
      <w:tr w14:paraId="4E45ABA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9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674B9089">
            <w:pPr>
              <w:jc w:val="left"/>
            </w:pPr>
            <w:r>
              <w:rPr>
                <w:rFonts w:ascii="Times New Roman" w:hAnsi="Times New Roman" w:eastAsia="Times New Roman" w:cs="Times New Roman"/>
                <w:sz w:val="21"/>
                <w:szCs w:val="21"/>
                <w:lang w:val="en-US"/>
              </w:rPr>
              <w:t>dim_credit_profile</w:t>
            </w:r>
          </w:p>
        </w:tc>
        <w:tc>
          <w:tcPr>
            <w:tcW w:w="38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7FA9C58B">
            <w:pPr>
              <w:jc w:val="left"/>
            </w:pPr>
            <w:r>
              <w:rPr>
                <w:rFonts w:ascii="Times New Roman" w:hAnsi="Times New Roman" w:eastAsia="Times New Roman" w:cs="Times New Roman"/>
                <w:sz w:val="21"/>
                <w:szCs w:val="21"/>
                <w:lang w:val="en-US"/>
              </w:rPr>
              <w:t>grade, risk_segment, credit_tier, risk_return_profile, pricing_strategy, allocation_guidance</w:t>
            </w:r>
          </w:p>
        </w:tc>
        <w:tc>
          <w:tcPr>
            <w:tcW w:w="36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1D89B6C8">
            <w:pPr>
              <w:jc w:val="left"/>
            </w:pPr>
            <w:r>
              <w:rPr>
                <w:rFonts w:ascii="Times New Roman" w:hAnsi="Times New Roman" w:eastAsia="Times New Roman" w:cs="Times New Roman"/>
                <w:sz w:val="21"/>
                <w:szCs w:val="21"/>
              </w:rPr>
              <w:t>The heart of credit risk — grade, FICO, and risk segment together in one place.</w:t>
            </w:r>
          </w:p>
        </w:tc>
      </w:tr>
      <w:tr w14:paraId="6467B14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9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233784D">
            <w:pPr>
              <w:jc w:val="left"/>
            </w:pPr>
            <w:r>
              <w:rPr>
                <w:rFonts w:ascii="Times New Roman" w:hAnsi="Times New Roman" w:eastAsia="Times New Roman" w:cs="Times New Roman"/>
                <w:sz w:val="21"/>
                <w:szCs w:val="21"/>
                <w:lang w:val="en-US"/>
              </w:rPr>
              <w:t>dim_loan_terms</w:t>
            </w:r>
          </w:p>
        </w:tc>
        <w:tc>
          <w:tcPr>
            <w:tcW w:w="38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511B4983">
            <w:pPr>
              <w:jc w:val="left"/>
            </w:pPr>
            <w:r>
              <w:rPr>
                <w:rFonts w:ascii="Times New Roman" w:hAnsi="Times New Roman" w:eastAsia="Times New Roman" w:cs="Times New Roman"/>
                <w:sz w:val="21"/>
                <w:szCs w:val="21"/>
                <w:lang w:val="en-US"/>
              </w:rPr>
              <w:t>term_label, rate_environment, margin_tier, prepayment_expectation, duration_risk</w:t>
            </w:r>
          </w:p>
        </w:tc>
        <w:tc>
          <w:tcPr>
            <w:tcW w:w="36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5976C69">
            <w:pPr>
              <w:jc w:val="left"/>
            </w:pPr>
            <w:r>
              <w:rPr>
                <w:rFonts w:ascii="Times New Roman" w:hAnsi="Times New Roman" w:eastAsia="Times New Roman" w:cs="Times New Roman"/>
                <w:sz w:val="21"/>
                <w:szCs w:val="21"/>
              </w:rPr>
              <w:t>The product dimension — separates what was sold from who bought it (a Kimball best practice).</w:t>
            </w:r>
          </w:p>
        </w:tc>
      </w:tr>
      <w:tr w14:paraId="3859D31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9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36AC7473">
            <w:pPr>
              <w:jc w:val="left"/>
            </w:pPr>
            <w:r>
              <w:rPr>
                <w:rFonts w:ascii="Times New Roman" w:hAnsi="Times New Roman" w:eastAsia="Times New Roman" w:cs="Times New Roman"/>
                <w:sz w:val="21"/>
                <w:szCs w:val="21"/>
                <w:lang w:val="en-US"/>
              </w:rPr>
              <w:t>dim_vintage</w:t>
            </w:r>
          </w:p>
        </w:tc>
        <w:tc>
          <w:tcPr>
            <w:tcW w:w="38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29F3FB07">
            <w:pPr>
              <w:jc w:val="left"/>
            </w:pPr>
            <w:r>
              <w:rPr>
                <w:rFonts w:ascii="Times New Roman" w:hAnsi="Times New Roman" w:eastAsia="Times New Roman" w:cs="Times New Roman"/>
                <w:sz w:val="21"/>
                <w:szCs w:val="21"/>
                <w:lang w:val="en-US"/>
              </w:rPr>
              <w:t>vintage_cohort_label, vintage_era, seasoning_bucket, months_on_book, economic_phase_at_origination</w:t>
            </w:r>
          </w:p>
        </w:tc>
        <w:tc>
          <w:tcPr>
            <w:tcW w:w="36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64D82ABB">
            <w:pPr>
              <w:jc w:val="left"/>
            </w:pPr>
            <w:r>
              <w:rPr>
                <w:rFonts w:ascii="Times New Roman" w:hAnsi="Times New Roman" w:eastAsia="Times New Roman" w:cs="Times New Roman"/>
                <w:sz w:val="21"/>
                <w:szCs w:val="21"/>
              </w:rPr>
              <w:t>The gold standard in lending analytics — cohort-based vintage curves, tracked separately from calendar date.</w:t>
            </w:r>
          </w:p>
        </w:tc>
      </w:tr>
    </w:tbl>
    <w:p w14:paraId="0B9CA621">
      <w:pPr>
        <w:spacing w:after="100"/>
        <w:jc w:val="both"/>
      </w:pPr>
      <w:r>
        <w:rPr>
          <w:rFonts w:ascii="Times New Roman" w:hAnsi="Times New Roman" w:eastAsia="Times New Roman" w:cs="Times New Roman"/>
        </w:rPr>
        <w:t xml:space="preserve"> </w:t>
      </w:r>
    </w:p>
    <w:p w14:paraId="2AAD117A">
      <w:pPr>
        <w:spacing w:after="160" w:line="276" w:lineRule="auto"/>
        <w:jc w:val="both"/>
      </w:pPr>
      <w:r>
        <w:rPr>
          <w:rFonts w:ascii="Times New Roman" w:hAnsi="Times New Roman" w:eastAsia="Times New Roman" w:cs="Times New Roman"/>
          <w:lang w:val="en-US"/>
        </w:rPr>
        <w:t>fct_loans carries the measures (loan amount, outstanding principal, recoveries, default flag, etc.) and foreign keys into each dimension. Two pre-aggregated summary marts (mart_vintage_performance and mart_portfolio_kpis) are also materialized for the heaviest, most frequently-viewed dashboard views; all other cuts (default rate by grade, by state, by purpose, etc.) are computed live as queries/measures against the fact and dimension tables rather than pre-built as separate physical tables, avoiding table sprawl.</w:t>
      </w:r>
    </w:p>
    <w:p w14:paraId="470896AB">
      <w:pPr>
        <w:pStyle w:val="18"/>
        <w:keepLines/>
        <w:numPr>
          <w:ilvl w:val="0"/>
          <w:numId w:val="1"/>
        </w:numPr>
        <w:spacing w:after="100" w:line="276" w:lineRule="auto"/>
      </w:pPr>
      <w:r>
        <w:rPr>
          <w:rFonts w:ascii="Times New Roman" w:hAnsi="Times New Roman" w:eastAsia="Times New Roman" w:cs="Times New Roman"/>
          <w:lang w:val="en-US"/>
        </w:rPr>
        <w:t>fct_loans is built as a dbt incremental model (merge strategy on loan_id), so re-runs only process newly loaded rows rather than rebuilding the whole table.</w:t>
      </w:r>
    </w:p>
    <w:p w14:paraId="7F0457AE">
      <w:pPr>
        <w:pStyle w:val="18"/>
        <w:keepLines/>
        <w:numPr>
          <w:ilvl w:val="0"/>
          <w:numId w:val="1"/>
        </w:numPr>
        <w:spacing w:after="100" w:line="276" w:lineRule="auto"/>
      </w:pPr>
      <w:r>
        <w:rPr>
          <w:rFonts w:ascii="Times New Roman" w:hAnsi="Times New Roman" w:eastAsia="Times New Roman" w:cs="Times New Roman"/>
          <w:lang w:val="en-US"/>
        </w:rPr>
        <w:t>Only rows that passed all Silver-layer data quality checks (is_dq_passed = true) are propagated into the Gold layer.</w:t>
      </w:r>
    </w:p>
    <w:p w14:paraId="0A8A244A">
      <w:pPr>
        <w:keepLines/>
        <w:spacing w:before="160" w:after="40"/>
        <w:jc w:val="center"/>
      </w:pPr>
      <w:r>
        <w:drawing>
          <wp:inline distT="0" distB="0" distL="114300" distR="114300">
            <wp:extent cx="3619500" cy="3695700"/>
            <wp:effectExtent l="0" t="0" r="0" b="0"/>
            <wp:docPr id="1984288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88863" name="drawing"/>
                    <pic:cNvPicPr>
                      <a:picLocks noChangeAspect="1"/>
                    </pic:cNvPicPr>
                  </pic:nvPicPr>
                  <pic:blipFill>
                    <a:blip r:embed="rId11"/>
                    <a:stretch>
                      <a:fillRect/>
                    </a:stretch>
                  </pic:blipFill>
                  <pic:spPr>
                    <a:xfrm>
                      <a:off x="0" y="0"/>
                      <a:ext cx="3620005" cy="3696216"/>
                    </a:xfrm>
                    <a:prstGeom prst="rect">
                      <a:avLst/>
                    </a:prstGeom>
                  </pic:spPr>
                </pic:pic>
              </a:graphicData>
            </a:graphic>
          </wp:inline>
        </w:drawing>
      </w:r>
    </w:p>
    <w:p w14:paraId="38F0B35E">
      <w:pPr>
        <w:pStyle w:val="3"/>
        <w:keepNext/>
        <w:keepLines/>
        <w:spacing w:before="280" w:after="140"/>
        <w:rPr>
          <w:rFonts w:ascii="Times New Roman" w:hAnsi="Times New Roman" w:eastAsia="Times New Roman" w:cs="Times New Roman"/>
          <w:b/>
          <w:bCs/>
          <w:color w:val="1B2A4A"/>
          <w:sz w:val="25"/>
          <w:szCs w:val="25"/>
          <w:lang w:val="en-US"/>
        </w:rPr>
      </w:pPr>
    </w:p>
    <w:p w14:paraId="5AF5EF71">
      <w:pPr>
        <w:pStyle w:val="3"/>
        <w:keepNext/>
        <w:keepLines/>
        <w:spacing w:before="280" w:after="140"/>
      </w:pPr>
      <w:r>
        <w:rPr>
          <w:rFonts w:ascii="Times New Roman" w:hAnsi="Times New Roman" w:eastAsia="Times New Roman" w:cs="Times New Roman"/>
          <w:b/>
          <w:bCs/>
          <w:color w:val="1B2A4A"/>
          <w:sz w:val="25"/>
          <w:szCs w:val="25"/>
          <w:lang w:val="en-US"/>
        </w:rPr>
        <w:t>8.6 Orchestration &amp; Automation — Dagster (Brief Overview)</w:t>
      </w:r>
    </w:p>
    <w:p w14:paraId="0650664F">
      <w:pPr>
        <w:spacing w:after="160" w:line="276" w:lineRule="auto"/>
        <w:jc w:val="both"/>
      </w:pPr>
      <w:r>
        <w:rPr>
          <w:rFonts w:ascii="Times New Roman" w:hAnsi="Times New Roman" w:eastAsia="Times New Roman" w:cs="Times New Roman"/>
          <w:lang w:val="en-US"/>
        </w:rPr>
        <w:t>Dagster orchestrates the pipeline from ingestion through Gold, using a sensor rather than a fixed schedule, so the pipeline reacts to new data rather than waiting for a scheduled run.</w:t>
      </w:r>
    </w:p>
    <w:p w14:paraId="6AF367F8">
      <w:pPr>
        <w:keepLines/>
        <w:spacing w:before="160" w:after="40"/>
        <w:jc w:val="center"/>
      </w:pPr>
      <w:r>
        <w:drawing>
          <wp:inline distT="0" distB="0" distL="0" distR="0">
            <wp:extent cx="457200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4572000" cy="1828800"/>
                    </a:xfrm>
                    <a:prstGeom prst="rect">
                      <a:avLst/>
                    </a:prstGeom>
                  </pic:spPr>
                </pic:pic>
              </a:graphicData>
            </a:graphic>
          </wp:inline>
        </w:drawing>
      </w:r>
    </w:p>
    <w:p w14:paraId="520ADCE3">
      <w:pPr>
        <w:spacing w:before="60" w:after="240"/>
        <w:jc w:val="center"/>
      </w:pPr>
      <w:r>
        <w:rPr>
          <w:rFonts w:ascii="Times New Roman" w:hAnsi="Times New Roman" w:eastAsia="Times New Roman" w:cs="Times New Roman"/>
          <w:i/>
          <w:iCs/>
          <w:color w:val="6B7280"/>
          <w:sz w:val="20"/>
          <w:szCs w:val="20"/>
          <w:lang w:val="en-US"/>
        </w:rPr>
        <w:t>Figure 8.6.1 — Dagster orchestration flow</w:t>
      </w:r>
    </w:p>
    <w:p w14:paraId="3BBBB47B">
      <w:pPr>
        <w:pStyle w:val="18"/>
        <w:keepLines/>
        <w:numPr>
          <w:ilvl w:val="0"/>
          <w:numId w:val="1"/>
        </w:numPr>
        <w:spacing w:after="100" w:line="276" w:lineRule="auto"/>
      </w:pPr>
      <w:r>
        <w:rPr>
          <w:rFonts w:ascii="Times New Roman" w:hAnsi="Times New Roman" w:eastAsia="Times New Roman" w:cs="Times New Roman"/>
          <w:lang w:val="en-US"/>
        </w:rPr>
        <w:t>blob_landing_sensor polls the Blob landing/ container every 30 seconds and compares the current file list against a persisted cursor of previously-seen files.</w:t>
      </w:r>
    </w:p>
    <w:p w14:paraId="19B654AA">
      <w:pPr>
        <w:pStyle w:val="18"/>
        <w:keepLines/>
        <w:numPr>
          <w:ilvl w:val="0"/>
          <w:numId w:val="1"/>
        </w:numPr>
        <w:spacing w:after="100" w:line="276" w:lineRule="auto"/>
      </w:pPr>
      <w:r>
        <w:rPr>
          <w:rFonts w:ascii="Times New Roman" w:hAnsi="Times New Roman" w:eastAsia="Times New Roman" w:cs="Times New Roman"/>
          <w:lang w:val="en-US"/>
        </w:rPr>
        <w:t>When a new file is detected, it triggers the lending_club_pipeline job.</w:t>
      </w:r>
    </w:p>
    <w:p w14:paraId="699B168A">
      <w:pPr>
        <w:pStyle w:val="18"/>
        <w:keepLines/>
        <w:numPr>
          <w:ilvl w:val="0"/>
          <w:numId w:val="1"/>
        </w:numPr>
        <w:spacing w:after="100" w:line="276" w:lineRule="auto"/>
      </w:pPr>
      <w:r>
        <w:rPr>
          <w:rFonts w:ascii="Times New Roman" w:hAnsi="Times New Roman" w:eastAsia="Times New Roman" w:cs="Times New Roman"/>
          <w:b/>
          <w:bCs/>
          <w:lang w:val="en-US"/>
        </w:rPr>
        <w:t xml:space="preserve">bronze_load asset: </w:t>
      </w:r>
      <w:r>
        <w:rPr>
          <w:rFonts w:ascii="Times New Roman" w:hAnsi="Times New Roman" w:eastAsia="Times New Roman" w:cs="Times New Roman"/>
          <w:lang w:val="en-US"/>
        </w:rPr>
        <w:t>executes the COPY INTO statement against Snowflake.</w:t>
      </w:r>
    </w:p>
    <w:p w14:paraId="7C14C4C2">
      <w:pPr>
        <w:pStyle w:val="18"/>
        <w:keepLines/>
        <w:numPr>
          <w:ilvl w:val="0"/>
          <w:numId w:val="1"/>
        </w:numPr>
        <w:spacing w:after="100" w:line="276" w:lineRule="auto"/>
      </w:pPr>
      <w:r>
        <w:rPr>
          <w:rFonts w:ascii="Times New Roman" w:hAnsi="Times New Roman" w:eastAsia="Times New Roman" w:cs="Times New Roman"/>
          <w:b/>
          <w:bCs/>
          <w:lang w:val="en-US"/>
        </w:rPr>
        <w:t xml:space="preserve">run_dbt_transformations asset: </w:t>
      </w:r>
      <w:r>
        <w:rPr>
          <w:rFonts w:ascii="Times New Roman" w:hAnsi="Times New Roman" w:eastAsia="Times New Roman" w:cs="Times New Roman"/>
          <w:lang w:val="en-US"/>
        </w:rPr>
        <w:t>triggers the deployed native Snowflake dbt project via EXECUTE DBT PROJECT … ARGS = 'build --select staging marts' — using dbt build (not just run) ensures schema and business-logic tests are enforced as part of every automated run, not only when triggered manually.</w:t>
      </w:r>
    </w:p>
    <w:p w14:paraId="6C60BB97">
      <w:pPr>
        <w:pStyle w:val="18"/>
        <w:keepLines/>
        <w:numPr>
          <w:ilvl w:val="0"/>
          <w:numId w:val="1"/>
        </w:numPr>
        <w:spacing w:after="100" w:line="276" w:lineRule="auto"/>
      </w:pPr>
      <w:r>
        <w:rPr>
          <w:rFonts w:ascii="Times New Roman" w:hAnsi="Times New Roman" w:eastAsia="Times New Roman" w:cs="Times New Roman"/>
          <w:lang w:val="en-US"/>
        </w:rPr>
        <w:t>All of Dagster's own run history, logs, and manual “Materialize All” trigger are visible in its local web UI, which also served as the live demo interface.</w:t>
      </w:r>
    </w:p>
    <w:p w14:paraId="02D290C9">
      <w:pPr>
        <w:keepLines/>
        <w:spacing w:before="160" w:after="40"/>
        <w:jc w:val="center"/>
      </w:pPr>
      <w:r>
        <w:drawing>
          <wp:inline distT="0" distB="0" distL="114300" distR="114300">
            <wp:extent cx="5943600" cy="2752725"/>
            <wp:effectExtent l="0" t="0" r="0" b="0"/>
            <wp:docPr id="779332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32536" name="drawing"/>
                    <pic:cNvPicPr>
                      <a:picLocks noChangeAspect="1"/>
                    </pic:cNvPicPr>
                  </pic:nvPicPr>
                  <pic:blipFill>
                    <a:blip r:embed="rId13"/>
                    <a:stretch>
                      <a:fillRect/>
                    </a:stretch>
                  </pic:blipFill>
                  <pic:spPr>
                    <a:xfrm>
                      <a:off x="0" y="0"/>
                      <a:ext cx="5943600" cy="2752725"/>
                    </a:xfrm>
                    <a:prstGeom prst="rect">
                      <a:avLst/>
                    </a:prstGeom>
                  </pic:spPr>
                </pic:pic>
              </a:graphicData>
            </a:graphic>
          </wp:inline>
        </w:drawing>
      </w:r>
    </w:p>
    <w:p w14:paraId="7E056E8F">
      <w:pPr>
        <w:pStyle w:val="3"/>
        <w:keepNext/>
        <w:keepLines/>
        <w:spacing w:before="280" w:after="140"/>
      </w:pPr>
      <w:r>
        <w:rPr>
          <w:rFonts w:ascii="Times New Roman" w:hAnsi="Times New Roman" w:eastAsia="Times New Roman" w:cs="Times New Roman"/>
          <w:b/>
          <w:bCs/>
          <w:color w:val="1B2A4A"/>
          <w:sz w:val="25"/>
          <w:szCs w:val="25"/>
          <w:lang w:val="en-US"/>
        </w:rPr>
        <w:t>8.7 Visualization — Streamlit in Snowflake</w:t>
      </w:r>
    </w:p>
    <w:p w14:paraId="0FE5E93D">
      <w:pPr>
        <w:spacing w:after="160" w:line="276" w:lineRule="auto"/>
        <w:jc w:val="both"/>
      </w:pPr>
      <w:r>
        <w:rPr>
          <w:rFonts w:ascii="Times New Roman" w:hAnsi="Times New Roman" w:eastAsia="Times New Roman" w:cs="Times New Roman"/>
          <w:lang w:val="en-US"/>
        </w:rPr>
        <w:t>Power BI was originally planned, but company sign-in restrictions made it unavailable. Streamlit in Snowflake (SiS) was chosen as the replacement — a native Snowflake capability requiring no separate hosting, credentials, or connection string, since the app runs directly on Snowflake compute with built-in access to the Gold schema. The app was rebuilt around a branded header and a persistent global filter panel so every chart on the page responds to the same selections, rather than each chart carrying its own local controls. All queries run live against LENDING_CLUB.GOLD with a 5-minute result cache; a "Last Refreshed" timestamp is shown in the header, and Refresh / Reset buttons let the latest pipeline output be pulled on demand or all filters cleared in one click during a live demo, rather than waiting out the cache window.</w:t>
      </w:r>
    </w:p>
    <w:p w14:paraId="5458220D">
      <w:pPr>
        <w:keepLines/>
        <w:spacing w:before="160" w:after="40"/>
        <w:jc w:val="center"/>
      </w:pPr>
      <w:r>
        <w:drawing>
          <wp:inline distT="0" distB="0" distL="0" distR="0">
            <wp:extent cx="4572000" cy="2382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4572000" cy="2382982"/>
                    </a:xfrm>
                    <a:prstGeom prst="rect">
                      <a:avLst/>
                    </a:prstGeom>
                  </pic:spPr>
                </pic:pic>
              </a:graphicData>
            </a:graphic>
          </wp:inline>
        </w:drawing>
      </w:r>
    </w:p>
    <w:p w14:paraId="431E0F37">
      <w:pPr>
        <w:spacing w:before="60" w:after="240"/>
        <w:jc w:val="center"/>
      </w:pPr>
      <w:r>
        <w:rPr>
          <w:rFonts w:ascii="Times New Roman" w:hAnsi="Times New Roman" w:eastAsia="Times New Roman" w:cs="Times New Roman"/>
          <w:i/>
          <w:iCs/>
          <w:color w:val="6B7280"/>
          <w:sz w:val="20"/>
          <w:szCs w:val="20"/>
        </w:rPr>
        <w:t>Figure 8.7.1 — Dashboard header and global Filters &amp; Controls panel</w:t>
      </w:r>
    </w:p>
    <w:p w14:paraId="589945C5">
      <w:pPr>
        <w:spacing w:after="160" w:line="276" w:lineRule="auto"/>
        <w:jc w:val="both"/>
      </w:pPr>
      <w:r>
        <w:rPr>
          <w:rFonts w:ascii="Times New Roman" w:hAnsi="Times New Roman" w:eastAsia="Times New Roman" w:cs="Times New Roman"/>
          <w:b/>
          <w:bCs/>
        </w:rPr>
        <w:t>Filters &amp; Controls (new):</w:t>
      </w:r>
    </w:p>
    <w:p w14:paraId="104E4879">
      <w:pPr>
        <w:spacing w:after="160" w:line="276" w:lineRule="auto"/>
        <w:jc w:val="both"/>
      </w:pPr>
      <w:r>
        <w:rPr>
          <w:rFonts w:ascii="Times New Roman" w:hAnsi="Times New Roman" w:eastAsia="Times New Roman" w:cs="Times New Roman"/>
          <w:lang w:val="en-US"/>
        </w:rPr>
        <w:t>A single filter panel now sits below the header and drives every chart and KPI on the page. It exposes nine multi-select filters, laid out three per row: Date, Grade, Risk Segment, Region, Vintage Year, Purpose, Loan Status, Term, and Interest Rate Band. Each maps directly to a Gold-layer dimension attribute (grade and risk_segment from dim_credit_profile, region from dim_geography, vintage year from dim_date/dim_vintage, purpose from dim_purpose, loan status from dim_loan_status, term and interest rate band from dim_loan_terms), so adding a new filter is a matter of adding one multiselect bound to an existing dimension column rather than writing a new query. Because every chart reads from the same set of selected filter values, the dashboard behaves as one coherent, drillable view of the portfolio instead of a set of independent charts.</w:t>
      </w:r>
    </w:p>
    <w:p w14:paraId="7B06FE60">
      <w:pPr>
        <w:spacing w:after="160" w:line="276" w:lineRule="auto"/>
        <w:jc w:val="both"/>
      </w:pPr>
      <w:r>
        <w:rPr>
          <w:rFonts w:ascii="Times New Roman" w:hAnsi="Times New Roman" w:eastAsia="Times New Roman" w:cs="Times New Roman"/>
          <w:b/>
          <w:bCs/>
        </w:rPr>
        <w:t>Dashboard contents (filtered by the panel above):</w:t>
      </w:r>
    </w:p>
    <w:p w14:paraId="70D4CC66">
      <w:pPr>
        <w:pStyle w:val="18"/>
        <w:keepLines/>
        <w:numPr>
          <w:ilvl w:val="0"/>
          <w:numId w:val="1"/>
        </w:numPr>
        <w:spacing w:after="100" w:line="276" w:lineRule="auto"/>
      </w:pPr>
      <w:r>
        <w:rPr>
          <w:rFonts w:ascii="Times New Roman" w:hAnsi="Times New Roman" w:eastAsia="Times New Roman" w:cs="Times New Roman"/>
        </w:rPr>
        <w:t>A KPI banner: total loans, total funded amount, average interest rate, and overall default rate, recomputed live against whatever combination of filters is currently selected.</w:t>
      </w:r>
    </w:p>
    <w:p w14:paraId="624DA9DB">
      <w:pPr>
        <w:pStyle w:val="18"/>
        <w:keepLines/>
        <w:numPr>
          <w:ilvl w:val="0"/>
          <w:numId w:val="1"/>
        </w:numPr>
        <w:spacing w:after="100" w:line="276" w:lineRule="auto"/>
      </w:pPr>
      <w:r>
        <w:rPr>
          <w:rFonts w:ascii="Times New Roman" w:hAnsi="Times New Roman" w:eastAsia="Times New Roman" w:cs="Times New Roman"/>
          <w:lang w:val="en-US"/>
        </w:rPr>
        <w:t>Default Rate by Interest Rate Band — a combo bar/area chart testing whether the interest rate charged actually prices in the observed risk.</w:t>
      </w:r>
    </w:p>
    <w:p w14:paraId="38432BAC">
      <w:pPr>
        <w:pStyle w:val="18"/>
        <w:keepLines/>
        <w:numPr>
          <w:ilvl w:val="0"/>
          <w:numId w:val="1"/>
        </w:numPr>
        <w:spacing w:after="100" w:line="276" w:lineRule="auto"/>
      </w:pPr>
      <w:r>
        <w:rPr>
          <w:rFonts w:ascii="Times New Roman" w:hAnsi="Times New Roman" w:eastAsia="Times New Roman" w:cs="Times New Roman"/>
          <w:lang w:val="en-US"/>
        </w:rPr>
        <w:t>Vintage Performance (2015–2018) — a combo chart of loan volume against default rate by origination quarter, joined from MART_VINTAGE_PERFORMANCE, DIM_DATE, and the new DIM_VINTAGE cohort attributes.</w:t>
      </w:r>
    </w:p>
    <w:p w14:paraId="4D4257FA">
      <w:pPr>
        <w:pStyle w:val="18"/>
        <w:keepLines/>
        <w:numPr>
          <w:ilvl w:val="0"/>
          <w:numId w:val="1"/>
        </w:numPr>
        <w:spacing w:after="100" w:line="276" w:lineRule="auto"/>
      </w:pPr>
      <w:r>
        <w:rPr>
          <w:rFonts w:ascii="Times New Roman" w:hAnsi="Times New Roman" w:eastAsia="Times New Roman" w:cs="Times New Roman"/>
          <w:lang w:val="en-US"/>
        </w:rPr>
        <w:t>Portfolio Risk Mix — a donut chart of loan count by risk segment, with the color domain built directly from the data returned rather than a hardcoded/guessed set of segment labels, so no slice is silently dropped if a label doesn't match expectations.</w:t>
      </w:r>
    </w:p>
    <w:p w14:paraId="62409C6D">
      <w:pPr>
        <w:pStyle w:val="18"/>
        <w:keepLines/>
        <w:numPr>
          <w:ilvl w:val="0"/>
          <w:numId w:val="1"/>
        </w:numPr>
        <w:spacing w:after="100" w:line="276" w:lineRule="auto"/>
      </w:pPr>
      <w:r>
        <w:rPr>
          <w:rFonts w:ascii="Times New Roman" w:hAnsi="Times New Roman" w:eastAsia="Times New Roman" w:cs="Times New Roman"/>
        </w:rPr>
        <w:t>Default Rate by FICO Band — the same combo-chart pattern applied to FICO score bands.</w:t>
      </w:r>
    </w:p>
    <w:p w14:paraId="025E4FE6">
      <w:pPr>
        <w:pStyle w:val="18"/>
        <w:keepLines/>
        <w:numPr>
          <w:ilvl w:val="0"/>
          <w:numId w:val="1"/>
        </w:numPr>
        <w:spacing w:after="100" w:line="276" w:lineRule="auto"/>
      </w:pPr>
      <w:r>
        <w:rPr>
          <w:rFonts w:ascii="Times New Roman" w:hAnsi="Times New Roman" w:eastAsia="Times New Roman" w:cs="Times New Roman"/>
          <w:b/>
          <w:bCs/>
        </w:rPr>
        <w:t xml:space="preserve">Explore the Portfolio: </w:t>
      </w:r>
      <w:r>
        <w:rPr>
          <w:rFonts w:ascii="Times New Roman" w:hAnsi="Times New Roman" w:eastAsia="Times New Roman" w:cs="Times New Roman"/>
        </w:rPr>
        <w:t>a self-serve panel where the user picks any dimension (now including Purpose and Loan Status alongside Grade, Risk Segment, Region, and Vintage Year) and any metric (default rate, loan count, total funded, average interest rate); the chart type adapts automatically — a trend line for the time dimension, ranked horizontal bars for categories with many values, vertical bars otherwise.</w:t>
      </w:r>
    </w:p>
    <w:tbl>
      <w:tblPr>
        <w:tblStyle w:val="9"/>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90"/>
        <w:gridCol w:w="4690"/>
      </w:tblGrid>
      <w:tr w14:paraId="5782C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80" w:type="dxa"/>
            <w:tcBorders>
              <w:top w:val="single" w:color="000000" w:themeColor="text1" w:sz="0" w:space="0"/>
              <w:left w:val="single" w:color="000000" w:themeColor="text1" w:sz="0" w:space="0"/>
              <w:bottom w:val="single" w:color="000000" w:themeColor="text1" w:sz="0" w:space="0"/>
              <w:right w:val="single" w:color="000000" w:themeColor="text1" w:sz="0" w:space="0"/>
            </w:tcBorders>
            <w:vAlign w:val="center"/>
          </w:tcPr>
          <w:p w14:paraId="5538E9A4">
            <w:pPr>
              <w:jc w:val="center"/>
            </w:pPr>
            <w:r>
              <w:drawing>
                <wp:inline distT="0" distB="0" distL="114300" distR="114300">
                  <wp:extent cx="2971800" cy="1266825"/>
                  <wp:effectExtent l="0" t="0" r="0" b="0"/>
                  <wp:docPr id="1963488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88426" name="drawing"/>
                          <pic:cNvPicPr>
                            <a:picLocks noChangeAspect="1"/>
                          </pic:cNvPicPr>
                        </pic:nvPicPr>
                        <pic:blipFill>
                          <a:blip r:embed="rId15"/>
                          <a:stretch>
                            <a:fillRect/>
                          </a:stretch>
                        </pic:blipFill>
                        <pic:spPr>
                          <a:xfrm>
                            <a:off x="0" y="0"/>
                            <a:ext cx="2971800" cy="1266825"/>
                          </a:xfrm>
                          <a:prstGeom prst="rect">
                            <a:avLst/>
                          </a:prstGeom>
                        </pic:spPr>
                      </pic:pic>
                    </a:graphicData>
                  </a:graphic>
                </wp:inline>
              </w:drawing>
            </w:r>
          </w:p>
        </w:tc>
        <w:tc>
          <w:tcPr>
            <w:tcW w:w="4680" w:type="dxa"/>
            <w:tcBorders>
              <w:top w:val="single" w:color="000000" w:themeColor="text1" w:sz="0" w:space="0"/>
              <w:left w:val="single" w:color="000000" w:themeColor="text1" w:sz="0" w:space="0"/>
              <w:bottom w:val="single" w:color="000000" w:themeColor="text1" w:sz="0" w:space="0"/>
              <w:right w:val="single" w:color="000000" w:themeColor="text1" w:sz="0" w:space="0"/>
            </w:tcBorders>
            <w:vAlign w:val="center"/>
          </w:tcPr>
          <w:p w14:paraId="0143AC0E">
            <w:pPr>
              <w:jc w:val="center"/>
            </w:pPr>
            <w:r>
              <w:drawing>
                <wp:inline distT="0" distB="0" distL="114300" distR="114300">
                  <wp:extent cx="2971800" cy="1314450"/>
                  <wp:effectExtent l="0" t="0" r="0" b="0"/>
                  <wp:docPr id="1482875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75061" name="drawing"/>
                          <pic:cNvPicPr>
                            <a:picLocks noChangeAspect="1"/>
                          </pic:cNvPicPr>
                        </pic:nvPicPr>
                        <pic:blipFill>
                          <a:blip r:embed="rId16"/>
                          <a:stretch>
                            <a:fillRect/>
                          </a:stretch>
                        </pic:blipFill>
                        <pic:spPr>
                          <a:xfrm>
                            <a:off x="0" y="0"/>
                            <a:ext cx="2971800" cy="1314450"/>
                          </a:xfrm>
                          <a:prstGeom prst="rect">
                            <a:avLst/>
                          </a:prstGeom>
                        </pic:spPr>
                      </pic:pic>
                    </a:graphicData>
                  </a:graphic>
                </wp:inline>
              </w:drawing>
            </w:r>
          </w:p>
        </w:tc>
      </w:tr>
    </w:tbl>
    <w:p w14:paraId="75FFD6CA">
      <w:pPr>
        <w:pStyle w:val="3"/>
        <w:keepNext/>
        <w:keepLines/>
        <w:spacing w:before="280" w:after="140"/>
      </w:pPr>
      <w:r>
        <w:rPr>
          <w:rFonts w:ascii="Times New Roman" w:hAnsi="Times New Roman" w:eastAsia="Times New Roman" w:cs="Times New Roman"/>
          <w:b/>
          <w:bCs/>
          <w:color w:val="1B2A4A"/>
          <w:sz w:val="25"/>
          <w:szCs w:val="25"/>
        </w:rPr>
        <w:t>8.8 Portfolio Assistant — Design Decision &amp; Implementation</w:t>
      </w:r>
    </w:p>
    <w:p w14:paraId="7274AB4C">
      <w:pPr>
        <w:spacing w:after="160" w:line="276" w:lineRule="auto"/>
        <w:jc w:val="both"/>
      </w:pPr>
      <w:r>
        <w:rPr>
          <w:rFonts w:ascii="Times New Roman" w:hAnsi="Times New Roman" w:eastAsia="Times New Roman" w:cs="Times New Roman"/>
          <w:lang w:val="en-US"/>
        </w:rPr>
        <w:t>The original design called for a Cortex-LLM-powered assistant (SNOWFLAKE.CORTEX.COMPLETE) that would translate free-text questions into SQL directly. During implementation this returned a hard error — “AI function COMPLETE is not available for trial accounts” — confirmed not to be a configuration issue: cross-region inference was already set to ANY_REGION, the active role held ACCOUNTADMIN, and the SNOWFLAKE.CORTEX_USER database role was explicitly granted. The restriction is a trial-account entitlement limit that cannot be worked around from within the account.</w:t>
      </w:r>
    </w:p>
    <w:p w14:paraId="0CE3CD92">
      <w:pPr>
        <w:spacing w:after="160" w:line="276" w:lineRule="auto"/>
        <w:jc w:val="both"/>
      </w:pPr>
      <w:r>
        <w:rPr>
          <w:rFonts w:ascii="Times New Roman" w:hAnsi="Times New Roman" w:eastAsia="Times New Roman" w:cs="Times New Roman"/>
          <w:lang w:val="en-US"/>
        </w:rPr>
        <w:t>Rather than leave the feature out or silently misrepresent it, a rule-based Portfolio Assistant was built as an honest, fully-functional replacement:</w:t>
      </w:r>
    </w:p>
    <w:p w14:paraId="181176C1">
      <w:pPr>
        <w:pStyle w:val="18"/>
        <w:keepLines/>
        <w:numPr>
          <w:ilvl w:val="0"/>
          <w:numId w:val="1"/>
        </w:numPr>
        <w:spacing w:after="100" w:line="276" w:lineRule="auto"/>
      </w:pPr>
      <w:r>
        <w:rPr>
          <w:rFonts w:ascii="Times New Roman" w:hAnsi="Times New Roman" w:eastAsia="Times New Roman" w:cs="Times New Roman"/>
          <w:lang w:val="en-US"/>
        </w:rPr>
        <w:t>A simple text input plus “Ask” button lets the user type a question in plain English; an expandable panel lists example questions the assistant understands, so a user unfamiliar with the underlying schema still knows what they can ask.</w:t>
      </w:r>
    </w:p>
    <w:p w14:paraId="206CC9DC">
      <w:pPr>
        <w:pStyle w:val="18"/>
        <w:keepLines/>
        <w:numPr>
          <w:ilvl w:val="0"/>
          <w:numId w:val="1"/>
        </w:numPr>
        <w:spacing w:after="100" w:line="276" w:lineRule="auto"/>
      </w:pPr>
      <w:r>
        <w:rPr>
          <w:rFonts w:ascii="Times New Roman" w:hAnsi="Times New Roman" w:eastAsia="Times New Roman" w:cs="Times New Roman"/>
          <w:lang w:val="en-US"/>
        </w:rPr>
        <w:t>The typed question is matched against a bank of known question patterns using keyword checks (e.g. “grade” + “default”, “state” + “highest” + “default”), covering default rate by grade/region/state/FICO, vintage performance, portfolio totals, repayment rate, collection efficiency, recoveries, and risk segment mix.</w:t>
      </w:r>
    </w:p>
    <w:p w14:paraId="7CE06B31">
      <w:pPr>
        <w:pStyle w:val="18"/>
        <w:keepLines/>
        <w:numPr>
          <w:ilvl w:val="0"/>
          <w:numId w:val="1"/>
        </w:numPr>
        <w:spacing w:after="100" w:line="276" w:lineRule="auto"/>
      </w:pPr>
      <w:r>
        <w:rPr>
          <w:rFonts w:ascii="Times New Roman" w:hAnsi="Times New Roman" w:eastAsia="Times New Roman" w:cs="Times New Roman"/>
          <w:lang w:val="en-US"/>
        </w:rPr>
        <w:t>Each matched pattern runs a real, pre-written SQL query live against the Gold layer — there are no hardcoded or fabricated answers; every response reflects the current data, including any new data loaded since the last pipeline run.</w:t>
      </w:r>
    </w:p>
    <w:p w14:paraId="22DD4BB4">
      <w:pPr>
        <w:pStyle w:val="18"/>
        <w:keepLines/>
        <w:numPr>
          <w:ilvl w:val="0"/>
          <w:numId w:val="1"/>
        </w:numPr>
        <w:spacing w:after="100" w:line="276" w:lineRule="auto"/>
      </w:pPr>
      <w:r>
        <w:rPr>
          <w:rFonts w:ascii="Times New Roman" w:hAnsi="Times New Roman" w:eastAsia="Times New Roman" w:cs="Times New Roman"/>
        </w:rPr>
        <w:t>If no pattern matches, the assistant says so explicitly (“I don't have a matching query for that yet”) rather than guessing or returning an unrelated answer.</w:t>
      </w:r>
    </w:p>
    <w:p w14:paraId="2C3023B7">
      <w:pPr>
        <w:spacing w:after="160" w:line="276" w:lineRule="auto"/>
        <w:jc w:val="both"/>
      </w:pPr>
      <w:r>
        <w:rPr>
          <w:rFonts w:ascii="Times New Roman" w:hAnsi="Times New Roman" w:eastAsia="Times New Roman" w:cs="Times New Roman"/>
          <w:lang w:val="en-US"/>
        </w:rPr>
        <w:t>This is deliberately labeled a “Portfolio Assistant” rather than an “AI Assistant” in the interface and in this document, since no language model is involved in the current trial-account build. Enabling true Cortex-LLM-based natural language querying is listed under Future Scope.</w:t>
      </w:r>
    </w:p>
    <w:p w14:paraId="6835BD5E">
      <w:pPr>
        <w:keepLines/>
        <w:spacing w:before="160" w:after="40"/>
        <w:jc w:val="center"/>
      </w:pPr>
    </w:p>
    <w:p w14:paraId="666BCF7A">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9. Testing &amp; Validation</w:t>
      </w:r>
    </w:p>
    <w:p w14:paraId="465B88EA">
      <w:pPr>
        <w:spacing w:after="160" w:line="276" w:lineRule="auto"/>
        <w:jc w:val="both"/>
      </w:pPr>
      <w:r>
        <w:rPr>
          <w:rFonts w:ascii="Times New Roman" w:hAnsi="Times New Roman" w:eastAsia="Times New Roman" w:cs="Times New Roman"/>
          <w:lang w:val="en-US"/>
        </w:rPr>
        <w:t>Every layer of the medallion architecture has its own explicit tests, executed either automatically (as part of dbt build inside the Dagster-triggered run) or manually verified during development.</w:t>
      </w:r>
    </w:p>
    <w:tbl>
      <w:tblPr>
        <w:tblStyle w:val="9"/>
        <w:tblW w:w="936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1270"/>
        <w:gridCol w:w="2461"/>
        <w:gridCol w:w="3857"/>
        <w:gridCol w:w="1772"/>
      </w:tblGrid>
      <w:tr w14:paraId="5F6BF77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blHeader/>
        </w:trPr>
        <w:tc>
          <w:tcPr>
            <w:tcW w:w="150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60FFBF1E">
            <w:pPr>
              <w:jc w:val="center"/>
            </w:pPr>
            <w:r>
              <w:rPr>
                <w:rFonts w:ascii="Times New Roman" w:hAnsi="Times New Roman" w:eastAsia="Times New Roman" w:cs="Times New Roman"/>
                <w:b/>
                <w:bCs/>
                <w:color w:val="FFFFFF"/>
                <w:sz w:val="21"/>
                <w:szCs w:val="21"/>
              </w:rPr>
              <w:t>Layer</w:t>
            </w:r>
          </w:p>
        </w:tc>
        <w:tc>
          <w:tcPr>
            <w:tcW w:w="290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1A7BD20B">
            <w:pPr>
              <w:jc w:val="center"/>
            </w:pPr>
            <w:r>
              <w:rPr>
                <w:rFonts w:ascii="Times New Roman" w:hAnsi="Times New Roman" w:eastAsia="Times New Roman" w:cs="Times New Roman"/>
                <w:b/>
                <w:bCs/>
                <w:color w:val="FFFFFF"/>
                <w:sz w:val="21"/>
                <w:szCs w:val="21"/>
              </w:rPr>
              <w:t>Test</w:t>
            </w:r>
          </w:p>
        </w:tc>
        <w:tc>
          <w:tcPr>
            <w:tcW w:w="296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2E135165">
            <w:pPr>
              <w:jc w:val="center"/>
            </w:pPr>
            <w:r>
              <w:rPr>
                <w:rFonts w:ascii="Times New Roman" w:hAnsi="Times New Roman" w:eastAsia="Times New Roman" w:cs="Times New Roman"/>
                <w:b/>
                <w:bCs/>
                <w:color w:val="FFFFFF"/>
                <w:sz w:val="21"/>
                <w:szCs w:val="21"/>
              </w:rPr>
              <w:t>Mechanism</w:t>
            </w:r>
          </w:p>
        </w:tc>
        <w:tc>
          <w:tcPr>
            <w:tcW w:w="200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4D101DF8">
            <w:pPr>
              <w:jc w:val="center"/>
            </w:pPr>
            <w:r>
              <w:rPr>
                <w:rFonts w:ascii="Times New Roman" w:hAnsi="Times New Roman" w:eastAsia="Times New Roman" w:cs="Times New Roman"/>
                <w:b/>
                <w:bCs/>
                <w:color w:val="FFFFFF"/>
                <w:sz w:val="21"/>
                <w:szCs w:val="21"/>
              </w:rPr>
              <w:t>Automated?</w:t>
            </w:r>
          </w:p>
        </w:tc>
      </w:tr>
      <w:tr w14:paraId="2D76555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5752838E">
            <w:pPr>
              <w:jc w:val="left"/>
            </w:pPr>
            <w:r>
              <w:rPr>
                <w:rFonts w:ascii="Times New Roman" w:hAnsi="Times New Roman" w:eastAsia="Times New Roman" w:cs="Times New Roman"/>
                <w:sz w:val="21"/>
                <w:szCs w:val="21"/>
              </w:rPr>
              <w:t>Local split</w:t>
            </w:r>
          </w:p>
        </w:tc>
        <w:tc>
          <w:tcPr>
            <w:tcW w:w="29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0BA1ABBE">
            <w:pPr>
              <w:jc w:val="left"/>
            </w:pPr>
            <w:r>
              <w:rPr>
                <w:rFonts w:ascii="Times New Roman" w:hAnsi="Times New Roman" w:eastAsia="Times New Roman" w:cs="Times New Roman"/>
                <w:sz w:val="21"/>
                <w:szCs w:val="21"/>
              </w:rPr>
              <w:t>Row count reconciliation; output schema check; no duplicate ids</w:t>
            </w:r>
          </w:p>
        </w:tc>
        <w:tc>
          <w:tcPr>
            <w:tcW w:w="29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BE505D2">
            <w:pPr>
              <w:jc w:val="left"/>
            </w:pPr>
            <w:r>
              <w:rPr>
                <w:rFonts w:ascii="Times New Roman" w:hAnsi="Times New Roman" w:eastAsia="Times New Roman" w:cs="Times New Roman"/>
                <w:sz w:val="21"/>
                <w:szCs w:val="21"/>
              </w:rPr>
              <w:t>Custom Python assertions (test_split.py)</w:t>
            </w:r>
          </w:p>
        </w:tc>
        <w:tc>
          <w:tcPr>
            <w:tcW w:w="20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3AB56437">
            <w:pPr>
              <w:jc w:val="left"/>
            </w:pPr>
            <w:r>
              <w:rPr>
                <w:rFonts w:ascii="Times New Roman" w:hAnsi="Times New Roman" w:eastAsia="Times New Roman" w:cs="Times New Roman"/>
                <w:sz w:val="21"/>
                <w:szCs w:val="21"/>
              </w:rPr>
              <w:t>Manual trigger</w:t>
            </w:r>
          </w:p>
        </w:tc>
      </w:tr>
      <w:tr w14:paraId="68CEC07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1BB77EEB">
            <w:pPr>
              <w:jc w:val="left"/>
            </w:pPr>
            <w:r>
              <w:rPr>
                <w:rFonts w:ascii="Times New Roman" w:hAnsi="Times New Roman" w:eastAsia="Times New Roman" w:cs="Times New Roman"/>
                <w:sz w:val="21"/>
                <w:szCs w:val="21"/>
              </w:rPr>
              <w:t>Blob upload</w:t>
            </w:r>
          </w:p>
        </w:tc>
        <w:tc>
          <w:tcPr>
            <w:tcW w:w="29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0B9A1EC3">
            <w:pPr>
              <w:jc w:val="left"/>
            </w:pPr>
            <w:r>
              <w:rPr>
                <w:rFonts w:ascii="Times New Roman" w:hAnsi="Times New Roman" w:eastAsia="Times New Roman" w:cs="Times New Roman"/>
                <w:sz w:val="21"/>
                <w:szCs w:val="21"/>
                <w:lang w:val="en-US"/>
              </w:rPr>
              <w:t>Blob existence; byte-size match; all uploads succeeded</w:t>
            </w:r>
          </w:p>
        </w:tc>
        <w:tc>
          <w:tcPr>
            <w:tcW w:w="29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198B9E6D">
            <w:pPr>
              <w:jc w:val="left"/>
            </w:pPr>
            <w:r>
              <w:rPr>
                <w:rFonts w:ascii="Times New Roman" w:hAnsi="Times New Roman" w:eastAsia="Times New Roman" w:cs="Times New Roman"/>
                <w:sz w:val="21"/>
                <w:szCs w:val="21"/>
              </w:rPr>
              <w:t>Custom Python assertions (test_landing.py)</w:t>
            </w:r>
          </w:p>
        </w:tc>
        <w:tc>
          <w:tcPr>
            <w:tcW w:w="20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013ED361">
            <w:pPr>
              <w:jc w:val="left"/>
            </w:pPr>
            <w:r>
              <w:rPr>
                <w:rFonts w:ascii="Times New Roman" w:hAnsi="Times New Roman" w:eastAsia="Times New Roman" w:cs="Times New Roman"/>
                <w:sz w:val="21"/>
                <w:szCs w:val="21"/>
              </w:rPr>
              <w:t>Manual trigger</w:t>
            </w:r>
          </w:p>
        </w:tc>
      </w:tr>
      <w:tr w14:paraId="445FCC0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3A0D259">
            <w:pPr>
              <w:jc w:val="left"/>
            </w:pPr>
            <w:r>
              <w:rPr>
                <w:rFonts w:ascii="Times New Roman" w:hAnsi="Times New Roman" w:eastAsia="Times New Roman" w:cs="Times New Roman"/>
                <w:sz w:val="21"/>
                <w:szCs w:val="21"/>
              </w:rPr>
              <w:t>Bronze</w:t>
            </w:r>
          </w:p>
        </w:tc>
        <w:tc>
          <w:tcPr>
            <w:tcW w:w="29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7A51A5F0">
            <w:pPr>
              <w:jc w:val="left"/>
            </w:pPr>
            <w:r>
              <w:rPr>
                <w:rFonts w:ascii="Times New Roman" w:hAnsi="Times New Roman" w:eastAsia="Times New Roman" w:cs="Times New Roman"/>
                <w:sz w:val="21"/>
                <w:szCs w:val="21"/>
              </w:rPr>
              <w:t>Total row count; null id check; duplicate id check</w:t>
            </w:r>
          </w:p>
        </w:tc>
        <w:tc>
          <w:tcPr>
            <w:tcW w:w="29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15E6785">
            <w:pPr>
              <w:jc w:val="left"/>
            </w:pPr>
            <w:r>
              <w:rPr>
                <w:rFonts w:ascii="Times New Roman" w:hAnsi="Times New Roman" w:eastAsia="Times New Roman" w:cs="Times New Roman"/>
                <w:sz w:val="21"/>
                <w:szCs w:val="21"/>
              </w:rPr>
              <w:t>SQL verification queries</w:t>
            </w:r>
          </w:p>
        </w:tc>
        <w:tc>
          <w:tcPr>
            <w:tcW w:w="20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387FE88">
            <w:pPr>
              <w:jc w:val="left"/>
            </w:pPr>
            <w:r>
              <w:rPr>
                <w:rFonts w:ascii="Times New Roman" w:hAnsi="Times New Roman" w:eastAsia="Times New Roman" w:cs="Times New Roman"/>
                <w:sz w:val="21"/>
                <w:szCs w:val="21"/>
              </w:rPr>
              <w:t>Manual verification; load itself is automated</w:t>
            </w:r>
          </w:p>
        </w:tc>
      </w:tr>
      <w:tr w14:paraId="63B77DF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553D8C9F">
            <w:pPr>
              <w:jc w:val="left"/>
            </w:pPr>
            <w:r>
              <w:rPr>
                <w:rFonts w:ascii="Times New Roman" w:hAnsi="Times New Roman" w:eastAsia="Times New Roman" w:cs="Times New Roman"/>
                <w:sz w:val="21"/>
                <w:szCs w:val="21"/>
              </w:rPr>
              <w:t>Bronze</w:t>
            </w:r>
          </w:p>
        </w:tc>
        <w:tc>
          <w:tcPr>
            <w:tcW w:w="29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475ADD0D">
            <w:pPr>
              <w:jc w:val="left"/>
            </w:pPr>
            <w:r>
              <w:rPr>
                <w:rFonts w:ascii="Times New Roman" w:hAnsi="Times New Roman" w:eastAsia="Times New Roman" w:cs="Times New Roman"/>
                <w:sz w:val="21"/>
                <w:szCs w:val="21"/>
              </w:rPr>
              <w:t>Per-file load status and row counts</w:t>
            </w:r>
          </w:p>
        </w:tc>
        <w:tc>
          <w:tcPr>
            <w:tcW w:w="29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7F41FA27">
            <w:pPr>
              <w:jc w:val="left"/>
            </w:pPr>
            <w:r>
              <w:rPr>
                <w:rFonts w:ascii="Times New Roman" w:hAnsi="Times New Roman" w:eastAsia="Times New Roman" w:cs="Times New Roman"/>
                <w:sz w:val="21"/>
                <w:szCs w:val="21"/>
              </w:rPr>
              <w:t>Snowflake native COPY_HISTORY</w:t>
            </w:r>
          </w:p>
        </w:tc>
        <w:tc>
          <w:tcPr>
            <w:tcW w:w="20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22D9FE10">
            <w:pPr>
              <w:jc w:val="left"/>
            </w:pPr>
            <w:r>
              <w:rPr>
                <w:rFonts w:ascii="Times New Roman" w:hAnsi="Times New Roman" w:eastAsia="Times New Roman" w:cs="Times New Roman"/>
                <w:sz w:val="21"/>
                <w:szCs w:val="21"/>
              </w:rPr>
              <w:t>Automatic</w:t>
            </w:r>
          </w:p>
        </w:tc>
      </w:tr>
      <w:tr w14:paraId="72BBDE0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033A67C7">
            <w:pPr>
              <w:jc w:val="left"/>
            </w:pPr>
            <w:r>
              <w:rPr>
                <w:rFonts w:ascii="Times New Roman" w:hAnsi="Times New Roman" w:eastAsia="Times New Roman" w:cs="Times New Roman"/>
                <w:sz w:val="21"/>
                <w:szCs w:val="21"/>
              </w:rPr>
              <w:t>Silver</w:t>
            </w:r>
          </w:p>
        </w:tc>
        <w:tc>
          <w:tcPr>
            <w:tcW w:w="29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53A766D6">
            <w:pPr>
              <w:jc w:val="left"/>
            </w:pPr>
            <w:r>
              <w:rPr>
                <w:rFonts w:ascii="Times New Roman" w:hAnsi="Times New Roman" w:eastAsia="Times New Roman" w:cs="Times New Roman"/>
                <w:sz w:val="21"/>
                <w:szCs w:val="21"/>
                <w:lang w:val="en-US"/>
              </w:rPr>
              <w:t>not_null / unique on loan_id; accepted_values on grade and loan_status</w:t>
            </w:r>
          </w:p>
        </w:tc>
        <w:tc>
          <w:tcPr>
            <w:tcW w:w="29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F535959">
            <w:pPr>
              <w:jc w:val="left"/>
            </w:pPr>
            <w:r>
              <w:rPr>
                <w:rFonts w:ascii="Times New Roman" w:hAnsi="Times New Roman" w:eastAsia="Times New Roman" w:cs="Times New Roman"/>
                <w:sz w:val="21"/>
                <w:szCs w:val="21"/>
                <w:lang w:val="en-US"/>
              </w:rPr>
              <w:t>dbt schema tests (YAML)</w:t>
            </w:r>
          </w:p>
        </w:tc>
        <w:tc>
          <w:tcPr>
            <w:tcW w:w="20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654F819">
            <w:pPr>
              <w:jc w:val="left"/>
            </w:pPr>
            <w:r>
              <w:rPr>
                <w:rFonts w:ascii="Times New Roman" w:hAnsi="Times New Roman" w:eastAsia="Times New Roman" w:cs="Times New Roman"/>
                <w:sz w:val="21"/>
                <w:szCs w:val="21"/>
                <w:lang w:val="en-US"/>
              </w:rPr>
              <w:t>Automated via dbt build</w:t>
            </w:r>
          </w:p>
        </w:tc>
      </w:tr>
      <w:tr w14:paraId="36C234B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25B2CBF1">
            <w:pPr>
              <w:jc w:val="left"/>
            </w:pPr>
            <w:r>
              <w:rPr>
                <w:rFonts w:ascii="Times New Roman" w:hAnsi="Times New Roman" w:eastAsia="Times New Roman" w:cs="Times New Roman"/>
                <w:sz w:val="21"/>
                <w:szCs w:val="21"/>
              </w:rPr>
              <w:t>Gold</w:t>
            </w:r>
          </w:p>
        </w:tc>
        <w:tc>
          <w:tcPr>
            <w:tcW w:w="29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664AFF88">
            <w:pPr>
              <w:jc w:val="left"/>
            </w:pPr>
            <w:r>
              <w:rPr>
                <w:rFonts w:ascii="Times New Roman" w:hAnsi="Times New Roman" w:eastAsia="Times New Roman" w:cs="Times New Roman"/>
                <w:sz w:val="21"/>
                <w:szCs w:val="21"/>
                <w:lang w:val="en-US"/>
              </w:rPr>
              <w:t>not_null / unique on fact and dimension keys; accepted_values on is_default</w:t>
            </w:r>
          </w:p>
        </w:tc>
        <w:tc>
          <w:tcPr>
            <w:tcW w:w="29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5AF612DC">
            <w:pPr>
              <w:jc w:val="left"/>
            </w:pPr>
            <w:r>
              <w:rPr>
                <w:rFonts w:ascii="Times New Roman" w:hAnsi="Times New Roman" w:eastAsia="Times New Roman" w:cs="Times New Roman"/>
                <w:sz w:val="21"/>
                <w:szCs w:val="21"/>
                <w:lang w:val="en-US"/>
              </w:rPr>
              <w:t>dbt schema tests (YAML)</w:t>
            </w:r>
          </w:p>
        </w:tc>
        <w:tc>
          <w:tcPr>
            <w:tcW w:w="20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66E23A3D">
            <w:pPr>
              <w:jc w:val="left"/>
            </w:pPr>
            <w:r>
              <w:rPr>
                <w:rFonts w:ascii="Times New Roman" w:hAnsi="Times New Roman" w:eastAsia="Times New Roman" w:cs="Times New Roman"/>
                <w:sz w:val="21"/>
                <w:szCs w:val="21"/>
                <w:lang w:val="en-US"/>
              </w:rPr>
              <w:t>Automated via dbt build</w:t>
            </w:r>
          </w:p>
        </w:tc>
      </w:tr>
      <w:tr w14:paraId="029E632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40468BAA">
            <w:pPr>
              <w:jc w:val="left"/>
            </w:pPr>
            <w:r>
              <w:rPr>
                <w:rFonts w:ascii="Times New Roman" w:hAnsi="Times New Roman" w:eastAsia="Times New Roman" w:cs="Times New Roman"/>
                <w:sz w:val="21"/>
                <w:szCs w:val="21"/>
              </w:rPr>
              <w:t>Gold</w:t>
            </w:r>
          </w:p>
        </w:tc>
        <w:tc>
          <w:tcPr>
            <w:tcW w:w="29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B540914">
            <w:pPr>
              <w:jc w:val="left"/>
            </w:pPr>
            <w:r>
              <w:rPr>
                <w:rFonts w:ascii="Times New Roman" w:hAnsi="Times New Roman" w:eastAsia="Times New Roman" w:cs="Times New Roman"/>
                <w:sz w:val="21"/>
                <w:szCs w:val="21"/>
              </w:rPr>
              <w:t>Default rate must fall between 0 and 1 (catches bad joins / divide-by-zero)</w:t>
            </w:r>
          </w:p>
        </w:tc>
        <w:tc>
          <w:tcPr>
            <w:tcW w:w="29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3AC788A2">
            <w:pPr>
              <w:jc w:val="left"/>
            </w:pPr>
            <w:r>
              <w:rPr>
                <w:rFonts w:ascii="Times New Roman" w:hAnsi="Times New Roman" w:eastAsia="Times New Roman" w:cs="Times New Roman"/>
                <w:sz w:val="21"/>
                <w:szCs w:val="21"/>
                <w:lang w:val="en-US"/>
              </w:rPr>
              <w:t>Singular dbt test (assert_default_rate_between_0_and_1.sql)</w:t>
            </w:r>
          </w:p>
        </w:tc>
        <w:tc>
          <w:tcPr>
            <w:tcW w:w="20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44FFA48">
            <w:pPr>
              <w:jc w:val="left"/>
            </w:pPr>
            <w:r>
              <w:rPr>
                <w:rFonts w:ascii="Times New Roman" w:hAnsi="Times New Roman" w:eastAsia="Times New Roman" w:cs="Times New Roman"/>
                <w:sz w:val="21"/>
                <w:szCs w:val="21"/>
                <w:lang w:val="en-US"/>
              </w:rPr>
              <w:t>Automated via dbt build</w:t>
            </w:r>
          </w:p>
        </w:tc>
      </w:tr>
    </w:tbl>
    <w:p w14:paraId="65649305">
      <w:pPr>
        <w:spacing w:after="100"/>
        <w:jc w:val="both"/>
      </w:pPr>
      <w:r>
        <w:rPr>
          <w:rFonts w:ascii="Times New Roman" w:hAnsi="Times New Roman" w:eastAsia="Times New Roman" w:cs="Times New Roman"/>
        </w:rPr>
        <w:t xml:space="preserve"> </w:t>
      </w:r>
    </w:p>
    <w:p w14:paraId="34E01AB3">
      <w:pPr>
        <w:spacing w:after="160" w:line="276" w:lineRule="auto"/>
        <w:jc w:val="both"/>
      </w:pPr>
      <w:r>
        <w:rPr>
          <w:rFonts w:ascii="Times New Roman" w:hAnsi="Times New Roman" w:eastAsia="Times New Roman" w:cs="Times New Roman"/>
          <w:lang w:val="en-US"/>
        </w:rPr>
        <w:t>Data-quality validation (as distinct from schema testing) is also embedded directly in the Silver transformation itself: FICO range validation, loan status validation, state code validation, and financial sanity checks each produce a boolean flag, rolled up into a single is_dq_passed column that gates what reaches the Gold layer.</w:t>
      </w:r>
    </w:p>
    <w:p w14:paraId="2E385F41">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10. Audit Logging &amp; Data Governance</w:t>
      </w:r>
    </w:p>
    <w:p w14:paraId="3C3ADA78">
      <w:pPr>
        <w:spacing w:after="160" w:line="276" w:lineRule="auto"/>
        <w:jc w:val="both"/>
      </w:pPr>
      <w:r>
        <w:rPr>
          <w:rFonts w:ascii="Times New Roman" w:hAnsi="Times New Roman" w:eastAsia="Times New Roman" w:cs="Times New Roman"/>
          <w:lang w:val="en-US"/>
        </w:rPr>
        <w:t>A single shared table, LENDING_CLUB.AUDIT.PIPELINE_AUDIT_LOG, captures activity across all three medallion layers, so the full pipeline history can be queried from one place rather than piecing together logs from separate systems.</w:t>
      </w:r>
    </w:p>
    <w:tbl>
      <w:tblPr>
        <w:tblStyle w:val="9"/>
        <w:tblW w:w="936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800"/>
        <w:gridCol w:w="6560"/>
      </w:tblGrid>
      <w:tr w14:paraId="6A499BC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blHeader/>
        </w:trPr>
        <w:tc>
          <w:tcPr>
            <w:tcW w:w="280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66982D90">
            <w:pPr>
              <w:jc w:val="center"/>
            </w:pPr>
            <w:r>
              <w:rPr>
                <w:rFonts w:ascii="Times New Roman" w:hAnsi="Times New Roman" w:eastAsia="Times New Roman" w:cs="Times New Roman"/>
                <w:b/>
                <w:bCs/>
                <w:color w:val="FFFFFF"/>
                <w:sz w:val="21"/>
                <w:szCs w:val="21"/>
              </w:rPr>
              <w:t>Column</w:t>
            </w:r>
          </w:p>
        </w:tc>
        <w:tc>
          <w:tcPr>
            <w:tcW w:w="6560" w:type="dxa"/>
            <w:tcBorders>
              <w:top w:val="single" w:color="CCCCCC" w:sz="4" w:space="0"/>
              <w:left w:val="single" w:color="CCCCCC" w:sz="4" w:space="0"/>
              <w:bottom w:val="single" w:color="CCCCCC" w:sz="4" w:space="0"/>
              <w:right w:val="single" w:color="CCCCCC" w:sz="4" w:space="0"/>
            </w:tcBorders>
            <w:shd w:val="clear" w:color="auto" w:fill="1B2A4A"/>
            <w:tcMar>
              <w:top w:w="80" w:type="dxa"/>
              <w:left w:w="100" w:type="dxa"/>
              <w:bottom w:w="80" w:type="dxa"/>
              <w:right w:w="100" w:type="dxa"/>
            </w:tcMar>
            <w:vAlign w:val="center"/>
          </w:tcPr>
          <w:p w14:paraId="34E0FD03">
            <w:pPr>
              <w:jc w:val="center"/>
            </w:pPr>
            <w:r>
              <w:rPr>
                <w:rFonts w:ascii="Times New Roman" w:hAnsi="Times New Roman" w:eastAsia="Times New Roman" w:cs="Times New Roman"/>
                <w:b/>
                <w:bCs/>
                <w:color w:val="FFFFFF"/>
                <w:sz w:val="21"/>
                <w:szCs w:val="21"/>
              </w:rPr>
              <w:t>Purpose</w:t>
            </w:r>
          </w:p>
        </w:tc>
      </w:tr>
      <w:tr w14:paraId="1C33CAE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CCF433B">
            <w:pPr>
              <w:jc w:val="left"/>
            </w:pPr>
            <w:r>
              <w:rPr>
                <w:rFonts w:ascii="Times New Roman" w:hAnsi="Times New Roman" w:eastAsia="Times New Roman" w:cs="Times New Roman"/>
                <w:sz w:val="21"/>
                <w:szCs w:val="21"/>
              </w:rPr>
              <w:t>layer</w:t>
            </w:r>
          </w:p>
        </w:tc>
        <w:tc>
          <w:tcPr>
            <w:tcW w:w="65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57E2A740">
            <w:pPr>
              <w:jc w:val="left"/>
            </w:pPr>
            <w:r>
              <w:rPr>
                <w:rFonts w:ascii="Times New Roman" w:hAnsi="Times New Roman" w:eastAsia="Times New Roman" w:cs="Times New Roman"/>
                <w:sz w:val="21"/>
                <w:szCs w:val="21"/>
              </w:rPr>
              <w:t>BRONZE / SILVER / GOLD</w:t>
            </w:r>
          </w:p>
        </w:tc>
      </w:tr>
      <w:tr w14:paraId="79CD0E1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76A59939">
            <w:pPr>
              <w:jc w:val="left"/>
            </w:pPr>
            <w:r>
              <w:rPr>
                <w:rFonts w:ascii="Times New Roman" w:hAnsi="Times New Roman" w:eastAsia="Times New Roman" w:cs="Times New Roman"/>
                <w:sz w:val="21"/>
                <w:szCs w:val="21"/>
                <w:lang w:val="en-US"/>
              </w:rPr>
              <w:t>table_name</w:t>
            </w:r>
          </w:p>
        </w:tc>
        <w:tc>
          <w:tcPr>
            <w:tcW w:w="65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4636C672">
            <w:pPr>
              <w:jc w:val="left"/>
            </w:pPr>
            <w:r>
              <w:rPr>
                <w:rFonts w:ascii="Times New Roman" w:hAnsi="Times New Roman" w:eastAsia="Times New Roman" w:cs="Times New Roman"/>
                <w:sz w:val="21"/>
                <w:szCs w:val="21"/>
              </w:rPr>
              <w:t>Fully qualified table that was loaded or built</w:t>
            </w:r>
          </w:p>
        </w:tc>
      </w:tr>
      <w:tr w14:paraId="68CC9B4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26B9B8F4">
            <w:pPr>
              <w:jc w:val="left"/>
            </w:pPr>
            <w:r>
              <w:rPr>
                <w:rFonts w:ascii="Times New Roman" w:hAnsi="Times New Roman" w:eastAsia="Times New Roman" w:cs="Times New Roman"/>
                <w:sz w:val="21"/>
                <w:szCs w:val="21"/>
                <w:lang w:val="en-US"/>
              </w:rPr>
              <w:t>source_file</w:t>
            </w:r>
          </w:p>
        </w:tc>
        <w:tc>
          <w:tcPr>
            <w:tcW w:w="65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153BB2F3">
            <w:pPr>
              <w:jc w:val="left"/>
            </w:pPr>
            <w:r>
              <w:rPr>
                <w:rFonts w:ascii="Times New Roman" w:hAnsi="Times New Roman" w:eastAsia="Times New Roman" w:cs="Times New Roman"/>
                <w:sz w:val="21"/>
                <w:szCs w:val="21"/>
              </w:rPr>
              <w:t>Source file name, where applicable (Bronze loads only)</w:t>
            </w:r>
          </w:p>
        </w:tc>
      </w:tr>
      <w:tr w14:paraId="7C78D81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1FABF8DA">
            <w:pPr>
              <w:jc w:val="left"/>
            </w:pPr>
            <w:r>
              <w:rPr>
                <w:rFonts w:ascii="Times New Roman" w:hAnsi="Times New Roman" w:eastAsia="Times New Roman" w:cs="Times New Roman"/>
                <w:sz w:val="21"/>
                <w:szCs w:val="21"/>
                <w:lang w:val="en-US"/>
              </w:rPr>
              <w:t>rows_loaded</w:t>
            </w:r>
          </w:p>
        </w:tc>
        <w:tc>
          <w:tcPr>
            <w:tcW w:w="65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57E0CF84">
            <w:pPr>
              <w:jc w:val="left"/>
            </w:pPr>
            <w:r>
              <w:rPr>
                <w:rFonts w:ascii="Times New Roman" w:hAnsi="Times New Roman" w:eastAsia="Times New Roman" w:cs="Times New Roman"/>
                <w:sz w:val="21"/>
                <w:szCs w:val="21"/>
              </w:rPr>
              <w:t>Row count at time of load/build</w:t>
            </w:r>
          </w:p>
        </w:tc>
      </w:tr>
      <w:tr w14:paraId="063EF34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6FEBAC7F">
            <w:pPr>
              <w:jc w:val="left"/>
            </w:pPr>
            <w:r>
              <w:rPr>
                <w:rFonts w:ascii="Times New Roman" w:hAnsi="Times New Roman" w:eastAsia="Times New Roman" w:cs="Times New Roman"/>
                <w:sz w:val="21"/>
                <w:szCs w:val="21"/>
              </w:rPr>
              <w:t>status</w:t>
            </w:r>
          </w:p>
        </w:tc>
        <w:tc>
          <w:tcPr>
            <w:tcW w:w="6560" w:type="dxa"/>
            <w:tcBorders>
              <w:top w:val="single" w:color="CCCCCC" w:sz="4" w:space="0"/>
              <w:left w:val="single" w:color="CCCCCC" w:sz="4" w:space="0"/>
              <w:bottom w:val="single" w:color="CCCCCC" w:sz="4" w:space="0"/>
              <w:right w:val="single" w:color="CCCCCC" w:sz="4" w:space="0"/>
            </w:tcBorders>
            <w:tcMar>
              <w:top w:w="80" w:type="dxa"/>
              <w:left w:w="100" w:type="dxa"/>
              <w:bottom w:w="80" w:type="dxa"/>
              <w:right w:w="100" w:type="dxa"/>
            </w:tcMar>
            <w:vAlign w:val="center"/>
          </w:tcPr>
          <w:p w14:paraId="3923D33A">
            <w:pPr>
              <w:jc w:val="left"/>
            </w:pPr>
            <w:r>
              <w:rPr>
                <w:rFonts w:ascii="Times New Roman" w:hAnsi="Times New Roman" w:eastAsia="Times New Roman" w:cs="Times New Roman"/>
                <w:sz w:val="21"/>
                <w:szCs w:val="21"/>
              </w:rPr>
              <w:t>SUCCESS / PARTIAL / FAILED</w:t>
            </w:r>
          </w:p>
        </w:tc>
      </w:tr>
      <w:tr w14:paraId="3C35063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0587198C">
            <w:pPr>
              <w:jc w:val="left"/>
            </w:pPr>
            <w:r>
              <w:rPr>
                <w:rFonts w:ascii="Times New Roman" w:hAnsi="Times New Roman" w:eastAsia="Times New Roman" w:cs="Times New Roman"/>
                <w:sz w:val="21"/>
                <w:szCs w:val="21"/>
                <w:lang w:val="en-US"/>
              </w:rPr>
              <w:t>started_at / completed_at</w:t>
            </w:r>
          </w:p>
        </w:tc>
        <w:tc>
          <w:tcPr>
            <w:tcW w:w="6560" w:type="dxa"/>
            <w:tcBorders>
              <w:top w:val="single" w:color="CCCCCC" w:sz="4" w:space="0"/>
              <w:left w:val="single" w:color="CCCCCC" w:sz="4" w:space="0"/>
              <w:bottom w:val="single" w:color="CCCCCC" w:sz="4" w:space="0"/>
              <w:right w:val="single" w:color="CCCCCC" w:sz="4" w:space="0"/>
            </w:tcBorders>
            <w:shd w:val="clear" w:color="auto" w:fill="F4F6FA"/>
            <w:tcMar>
              <w:top w:w="80" w:type="dxa"/>
              <w:left w:w="100" w:type="dxa"/>
              <w:bottom w:w="80" w:type="dxa"/>
              <w:right w:w="100" w:type="dxa"/>
            </w:tcMar>
            <w:vAlign w:val="center"/>
          </w:tcPr>
          <w:p w14:paraId="5883FA46">
            <w:pPr>
              <w:jc w:val="left"/>
            </w:pPr>
            <w:r>
              <w:rPr>
                <w:rFonts w:ascii="Times New Roman" w:hAnsi="Times New Roman" w:eastAsia="Times New Roman" w:cs="Times New Roman"/>
                <w:sz w:val="21"/>
                <w:szCs w:val="21"/>
              </w:rPr>
              <w:t>Timing for each load or build event</w:t>
            </w:r>
          </w:p>
        </w:tc>
      </w:tr>
    </w:tbl>
    <w:p w14:paraId="0DFC9F8A">
      <w:pPr>
        <w:spacing w:after="100"/>
        <w:jc w:val="both"/>
      </w:pPr>
      <w:r>
        <w:rPr>
          <w:rFonts w:ascii="Times New Roman" w:hAnsi="Times New Roman" w:eastAsia="Times New Roman" w:cs="Times New Roman"/>
        </w:rPr>
        <w:t xml:space="preserve"> </w:t>
      </w:r>
    </w:p>
    <w:p w14:paraId="16F68660">
      <w:pPr>
        <w:pStyle w:val="18"/>
        <w:keepLines/>
        <w:numPr>
          <w:ilvl w:val="0"/>
          <w:numId w:val="1"/>
        </w:numPr>
        <w:spacing w:after="100" w:line="276" w:lineRule="auto"/>
      </w:pPr>
      <w:r>
        <w:rPr>
          <w:rFonts w:ascii="Times New Roman" w:hAnsi="Times New Roman" w:eastAsia="Times New Roman" w:cs="Times New Roman"/>
          <w:lang w:val="en-US"/>
        </w:rPr>
        <w:t>Bronze loads insert a row via a direct SQL statement immediately following each COPY INTO.</w:t>
      </w:r>
    </w:p>
    <w:p w14:paraId="48D18099">
      <w:pPr>
        <w:pStyle w:val="18"/>
        <w:keepLines/>
        <w:numPr>
          <w:ilvl w:val="0"/>
          <w:numId w:val="1"/>
        </w:numPr>
        <w:spacing w:before="160" w:after="100" w:line="276" w:lineRule="auto"/>
      </w:pPr>
      <w:r>
        <w:rPr>
          <w:rFonts w:ascii="Times New Roman" w:hAnsi="Times New Roman" w:eastAsia="Times New Roman" w:cs="Times New Roman"/>
          <w:lang w:val="en-US"/>
        </w:rPr>
        <w:t>Every Silver and Gold dbt model automatically writes its own audit row via a reusable log_layer_audit() macro, configured as a post-hook at the model-group level in dbt_project.yml — meaning new models inherit audit logging automatically, with no per-model code required.</w:t>
      </w:r>
    </w:p>
    <w:p w14:paraId="7BFEB616">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11. Results</w:t>
      </w:r>
    </w:p>
    <w:p w14:paraId="6739DECA">
      <w:pPr>
        <w:pStyle w:val="18"/>
        <w:keepLines/>
        <w:numPr>
          <w:ilvl w:val="0"/>
          <w:numId w:val="1"/>
        </w:numPr>
        <w:spacing w:after="100" w:line="276" w:lineRule="auto"/>
      </w:pPr>
      <w:r>
        <w:rPr>
          <w:rFonts w:ascii="Times New Roman" w:hAnsi="Times New Roman" w:eastAsia="Times New Roman" w:cs="Times New Roman"/>
        </w:rPr>
        <w:t>Ingested and processed 2,260,701 loan records across 151 raw source columns.</w:t>
      </w:r>
    </w:p>
    <w:p w14:paraId="761AD99F">
      <w:pPr>
        <w:pStyle w:val="18"/>
        <w:keepLines/>
        <w:numPr>
          <w:ilvl w:val="0"/>
          <w:numId w:val="1"/>
        </w:numPr>
        <w:spacing w:after="100" w:line="276" w:lineRule="auto"/>
      </w:pPr>
      <w:r>
        <w:rPr>
          <w:rFonts w:ascii="Times New Roman" w:hAnsi="Times New Roman" w:eastAsia="Times New Roman" w:cs="Times New Roman"/>
          <w:lang w:val="en-US"/>
        </w:rPr>
        <w:t>Built a governed Silver layer of ~84 cleaned, typed, enriched, and DQ/audit columns from 49 scoped raw fields (the mentor's 48-column list plus earliest_cr_line).</w:t>
      </w:r>
    </w:p>
    <w:p w14:paraId="36B2E911">
      <w:pPr>
        <w:pStyle w:val="18"/>
        <w:keepLines/>
        <w:numPr>
          <w:ilvl w:val="0"/>
          <w:numId w:val="1"/>
        </w:numPr>
        <w:spacing w:after="100" w:line="276" w:lineRule="auto"/>
      </w:pPr>
      <w:r>
        <w:rPr>
          <w:rFonts w:ascii="Times New Roman" w:hAnsi="Times New Roman" w:eastAsia="Times New Roman" w:cs="Times New Roman"/>
          <w:lang w:val="en-US"/>
        </w:rPr>
        <w:t>Designed and built an 8-dimension, 1-fact star schema Gold layer, plus 2 pre-aggregated summary marts.</w:t>
      </w:r>
    </w:p>
    <w:p w14:paraId="6242E3CC">
      <w:pPr>
        <w:pStyle w:val="18"/>
        <w:keepLines/>
        <w:numPr>
          <w:ilvl w:val="0"/>
          <w:numId w:val="1"/>
        </w:numPr>
        <w:spacing w:after="100" w:line="276" w:lineRule="auto"/>
      </w:pPr>
      <w:r>
        <w:rPr>
          <w:rFonts w:ascii="Times New Roman" w:hAnsi="Times New Roman" w:eastAsia="Times New Roman" w:cs="Times New Roman"/>
          <w:lang w:val="en-US"/>
        </w:rPr>
        <w:t>Automated the full pipeline end-to-end using a Dagster sensor, from a new file landing in Blob storage through tested Gold-layer tables, with zero manual steps in the automated path.</w:t>
      </w:r>
    </w:p>
    <w:p w14:paraId="14C2EAC7">
      <w:pPr>
        <w:pStyle w:val="18"/>
        <w:keepLines/>
        <w:numPr>
          <w:ilvl w:val="0"/>
          <w:numId w:val="1"/>
        </w:numPr>
        <w:spacing w:after="100" w:line="276" w:lineRule="auto"/>
      </w:pPr>
      <w:r>
        <w:rPr>
          <w:rFonts w:ascii="Times New Roman" w:hAnsi="Times New Roman" w:eastAsia="Times New Roman" w:cs="Times New Roman"/>
          <w:lang w:val="en-US"/>
        </w:rPr>
        <w:t>Implemented layered testing (schema tests, business-logic tests, and row-count reconciliation) enforced automatically as part of every automated run.</w:t>
      </w:r>
    </w:p>
    <w:p w14:paraId="12C74FAD">
      <w:pPr>
        <w:pStyle w:val="18"/>
        <w:keepLines/>
        <w:numPr>
          <w:ilvl w:val="0"/>
          <w:numId w:val="1"/>
        </w:numPr>
        <w:spacing w:after="100" w:line="276" w:lineRule="auto"/>
      </w:pPr>
      <w:r>
        <w:rPr>
          <w:rFonts w:ascii="Times New Roman" w:hAnsi="Times New Roman" w:eastAsia="Times New Roman" w:cs="Times New Roman"/>
        </w:rPr>
        <w:t>Implemented a unified, cross-layer audit trail covering Bronze, Silver, and Gold.</w:t>
      </w:r>
    </w:p>
    <w:p w14:paraId="5BB80A0A">
      <w:pPr>
        <w:pStyle w:val="18"/>
        <w:keepLines/>
        <w:numPr>
          <w:ilvl w:val="0"/>
          <w:numId w:val="1"/>
        </w:numPr>
        <w:spacing w:after="100" w:line="276" w:lineRule="auto"/>
      </w:pPr>
      <w:r>
        <w:rPr>
          <w:rFonts w:ascii="Times New Roman" w:hAnsi="Times New Roman" w:eastAsia="Times New Roman" w:cs="Times New Roman"/>
          <w:lang w:val="en-US"/>
        </w:rPr>
        <w:t>Delivered an interactive Streamlit dashboard, running natively in Snowflake, with a live, self-serve exploration panel and a guided Portfolio Assistant for common risk questions.</w:t>
      </w:r>
    </w:p>
    <w:p w14:paraId="1ED725F6">
      <w:pPr>
        <w:pStyle w:val="18"/>
        <w:keepLines/>
        <w:numPr>
          <w:ilvl w:val="0"/>
          <w:numId w:val="1"/>
        </w:numPr>
        <w:spacing w:after="100" w:line="276" w:lineRule="auto"/>
      </w:pPr>
      <w:r>
        <w:rPr>
          <w:rFonts w:ascii="Times New Roman" w:hAnsi="Times New Roman" w:eastAsia="Times New Roman" w:cs="Times New Roman"/>
        </w:rPr>
        <w:t>Diagnosed and honestly documented a trial-account platform limitation (Cortex LLM unavailability), and shipped a working, transparent alternative rather than leaving the feature broken or misrepresenting how it works.</w:t>
      </w:r>
    </w:p>
    <w:p w14:paraId="3E533B04">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12. Future Scope</w:t>
      </w:r>
    </w:p>
    <w:p w14:paraId="450C68CB">
      <w:pPr>
        <w:pStyle w:val="18"/>
        <w:keepLines/>
        <w:numPr>
          <w:ilvl w:val="0"/>
          <w:numId w:val="1"/>
        </w:numPr>
        <w:spacing w:after="100" w:line="276" w:lineRule="auto"/>
      </w:pPr>
      <w:r>
        <w:rPr>
          <w:rFonts w:ascii="Times New Roman" w:hAnsi="Times New Roman" w:eastAsia="Times New Roman" w:cs="Times New Roman"/>
          <w:b/>
          <w:bCs/>
          <w:lang w:val="en-US"/>
        </w:rPr>
        <w:t xml:space="preserve">Event-driven ingestion: </w:t>
      </w:r>
      <w:r>
        <w:rPr>
          <w:rFonts w:ascii="Times New Roman" w:hAnsi="Times New Roman" w:eastAsia="Times New Roman" w:cs="Times New Roman"/>
          <w:lang w:val="en-US"/>
        </w:rPr>
        <w:t>Replace the 30-second polling sensor with a true push-based trigger (e.g. Azure Event Grid) for near-instant pipeline activation.</w:t>
      </w:r>
    </w:p>
    <w:p w14:paraId="24F586E8">
      <w:pPr>
        <w:pStyle w:val="18"/>
        <w:keepLines/>
        <w:numPr>
          <w:ilvl w:val="0"/>
          <w:numId w:val="1"/>
        </w:numPr>
        <w:spacing w:after="100" w:line="276" w:lineRule="auto"/>
      </w:pPr>
      <w:r>
        <w:rPr>
          <w:rFonts w:ascii="Times New Roman" w:hAnsi="Times New Roman" w:eastAsia="Times New Roman" w:cs="Times New Roman"/>
          <w:b/>
          <w:bCs/>
          <w:lang w:val="en-US"/>
        </w:rPr>
        <w:t xml:space="preserve">Predictive modeling: </w:t>
      </w:r>
      <w:r>
        <w:rPr>
          <w:rFonts w:ascii="Times New Roman" w:hAnsi="Times New Roman" w:eastAsia="Times New Roman" w:cs="Times New Roman"/>
          <w:lang w:val="en-US"/>
        </w:rPr>
        <w:t>Train a machine learning model on the Gold layer to predict default probability at origination, rather than only reporting on historical outcomes.</w:t>
      </w:r>
    </w:p>
    <w:p w14:paraId="5EE1FA3F">
      <w:pPr>
        <w:pStyle w:val="18"/>
        <w:keepLines/>
        <w:numPr>
          <w:ilvl w:val="0"/>
          <w:numId w:val="1"/>
        </w:numPr>
        <w:spacing w:after="100" w:line="276" w:lineRule="auto"/>
      </w:pPr>
      <w:r>
        <w:rPr>
          <w:rFonts w:ascii="Times New Roman" w:hAnsi="Times New Roman" w:eastAsia="Times New Roman" w:cs="Times New Roman"/>
          <w:b/>
          <w:bCs/>
          <w:lang w:val="en-US"/>
        </w:rPr>
        <w:t xml:space="preserve">Automated dashboard refresh: </w:t>
      </w:r>
      <w:r>
        <w:rPr>
          <w:rFonts w:ascii="Times New Roman" w:hAnsi="Times New Roman" w:eastAsia="Times New Roman" w:cs="Times New Roman"/>
          <w:lang w:val="en-US"/>
        </w:rPr>
        <w:t>Extend the Dagster pipeline to trigger dashboard cache refresh automatically after each Gold rebuild.</w:t>
      </w:r>
    </w:p>
    <w:p w14:paraId="06C4B51E">
      <w:pPr>
        <w:pStyle w:val="18"/>
        <w:keepLines/>
        <w:numPr>
          <w:ilvl w:val="0"/>
          <w:numId w:val="1"/>
        </w:numPr>
        <w:spacing w:after="100" w:line="276" w:lineRule="auto"/>
      </w:pPr>
      <w:r>
        <w:rPr>
          <w:rFonts w:ascii="Times New Roman" w:hAnsi="Times New Roman" w:eastAsia="Times New Roman" w:cs="Times New Roman"/>
          <w:b/>
          <w:bCs/>
        </w:rPr>
        <w:t xml:space="preserve">True LLM-powered assistant: </w:t>
      </w:r>
      <w:r>
        <w:rPr>
          <w:rFonts w:ascii="Times New Roman" w:hAnsi="Times New Roman" w:eastAsia="Times New Roman" w:cs="Times New Roman"/>
        </w:rPr>
        <w:t>Enable Snowflake Cortex on a non-trial account to replace the rule-based pattern matching with genuine free-text-to-SQL generation, reusing the existing schema context and SQL-safety guardrails already written for that design.</w:t>
      </w:r>
    </w:p>
    <w:p w14:paraId="641EB941">
      <w:pPr>
        <w:pStyle w:val="18"/>
        <w:keepLines/>
        <w:numPr>
          <w:ilvl w:val="0"/>
          <w:numId w:val="1"/>
        </w:numPr>
        <w:spacing w:after="100" w:line="276" w:lineRule="auto"/>
      </w:pPr>
      <w:r>
        <w:rPr>
          <w:rFonts w:ascii="Times New Roman" w:hAnsi="Times New Roman" w:eastAsia="Times New Roman" w:cs="Times New Roman"/>
          <w:b/>
          <w:bCs/>
        </w:rPr>
        <w:t xml:space="preserve">Expanded assistant scope: </w:t>
      </w:r>
      <w:r>
        <w:rPr>
          <w:rFonts w:ascii="Times New Roman" w:hAnsi="Times New Roman" w:eastAsia="Times New Roman" w:cs="Times New Roman"/>
        </w:rPr>
        <w:t>Move from single-turn Q&amp;A to a multi-turn conversational agent capable of drafting portfolio summaries and flagging anomalies proactively, once LLM access is available.</w:t>
      </w:r>
    </w:p>
    <w:p w14:paraId="1C8D749E">
      <w:pPr>
        <w:pStyle w:val="18"/>
        <w:keepLines/>
        <w:numPr>
          <w:ilvl w:val="0"/>
          <w:numId w:val="1"/>
        </w:numPr>
        <w:spacing w:after="100" w:line="276" w:lineRule="auto"/>
      </w:pPr>
      <w:r>
        <w:rPr>
          <w:rFonts w:ascii="Times New Roman" w:hAnsi="Times New Roman" w:eastAsia="Times New Roman" w:cs="Times New Roman"/>
          <w:b/>
          <w:bCs/>
          <w:lang w:val="en-US"/>
        </w:rPr>
        <w:t xml:space="preserve">CI/CD for dbt: </w:t>
      </w:r>
      <w:r>
        <w:rPr>
          <w:rFonts w:ascii="Times New Roman" w:hAnsi="Times New Roman" w:eastAsia="Times New Roman" w:cs="Times New Roman"/>
          <w:lang w:val="en-US"/>
        </w:rPr>
        <w:t>Add automated dbt test runs on every code change via a Git-integrated pipeline, rather than relying on manual runs during development.</w:t>
      </w:r>
    </w:p>
    <w:p w14:paraId="2B0F87B6">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13. Conclusion</w:t>
      </w:r>
    </w:p>
    <w:p w14:paraId="21320395">
      <w:pPr>
        <w:spacing w:after="160" w:line="276" w:lineRule="auto"/>
        <w:jc w:val="both"/>
      </w:pPr>
      <w:r>
        <w:rPr>
          <w:rFonts w:ascii="Times New Roman" w:hAnsi="Times New Roman" w:eastAsia="Times New Roman" w:cs="Times New Roman"/>
          <w:lang w:val="en-US"/>
        </w:rPr>
        <w:t>This project demonstrates a governed, tested, and automated data pipeline that transforms raw, messy loan origination data into a trustworthy, well-modeled analytics layer. By running dbt and Streamlit natively inside Snowflake, and orchestrating the entire chain with an event-driven Dagster sensor, the solution avoids unnecessary infrastructure while still demonstrating the core disciplines of production data engineering: layered architecture, incremental processing, automated testing, and full audit traceability.</w:t>
      </w:r>
    </w:p>
    <w:p w14:paraId="62E10DBC">
      <w:pPr>
        <w:spacing w:after="160" w:line="276" w:lineRule="auto"/>
        <w:jc w:val="both"/>
        <w:rPr>
          <w:rFonts w:ascii="Times New Roman" w:hAnsi="Times New Roman" w:eastAsia="Times New Roman" w:cs="Times New Roman"/>
        </w:rPr>
      </w:pPr>
      <w:r>
        <w:rPr>
          <w:rFonts w:ascii="Times New Roman" w:hAnsi="Times New Roman" w:eastAsia="Times New Roman" w:cs="Times New Roman"/>
        </w:rPr>
        <w:t>The dimensional model was deliberately designed around real business questions rather than around whichever columns happened to exist in the source data, and every architectural decision — from column scoping to dimension design to tool selection — was made explicitly and can be justified on its own merits, not simply because it was the default option.</w:t>
      </w:r>
    </w:p>
    <w:p w14:paraId="1C1ED67A">
      <w:pPr>
        <w:spacing w:after="160" w:line="276" w:lineRule="auto"/>
        <w:jc w:val="both"/>
        <w:rPr>
          <w:rFonts w:hint="default" w:ascii="Times New Roman" w:hAnsi="Times New Roman" w:eastAsia="Times New Roman" w:cs="Times New Roman"/>
          <w:lang w:val="en-IN"/>
        </w:rPr>
      </w:pPr>
      <w:r>
        <w:rPr>
          <w:rFonts w:hint="default" w:cs="Times New Roman"/>
          <w:b/>
          <w:bCs/>
          <w:lang w:val="en-IN"/>
        </w:rPr>
        <w:t>Project Github Repository</w:t>
      </w:r>
      <w:r>
        <w:rPr>
          <w:rFonts w:hint="default" w:cs="Times New Roman"/>
          <w:lang w:val="en-IN"/>
        </w:rPr>
        <w:t xml:space="preserve"> : https://github.com/Intern-407/Credit-Risk-Analysis</w:t>
      </w:r>
      <w:bookmarkStart w:id="0" w:name="_GoBack"/>
      <w:bookmarkEnd w:id="0"/>
    </w:p>
    <w:p w14:paraId="29D88515">
      <w:pPr>
        <w:pStyle w:val="2"/>
        <w:keepNext/>
        <w:keepLines/>
        <w:pBdr>
          <w:bottom w:val="single" w:color="C9A227" w:sz="8" w:space="4"/>
        </w:pBdr>
        <w:spacing w:before="360" w:after="160"/>
      </w:pPr>
      <w:r>
        <w:rPr>
          <w:rFonts w:ascii="Times New Roman" w:hAnsi="Times New Roman" w:eastAsia="Times New Roman" w:cs="Times New Roman"/>
          <w:b/>
          <w:bCs/>
          <w:color w:val="1B2A4A"/>
          <w:sz w:val="30"/>
          <w:szCs w:val="30"/>
        </w:rPr>
        <w:t>14. References</w:t>
      </w:r>
    </w:p>
    <w:p w14:paraId="2E289BBF">
      <w:pPr>
        <w:pStyle w:val="18"/>
        <w:keepLines/>
        <w:numPr>
          <w:ilvl w:val="0"/>
          <w:numId w:val="1"/>
        </w:numPr>
        <w:spacing w:after="100" w:line="276" w:lineRule="auto"/>
      </w:pPr>
      <w:r>
        <w:rPr>
          <w:rFonts w:ascii="Times New Roman" w:hAnsi="Times New Roman" w:eastAsia="Times New Roman" w:cs="Times New Roman"/>
        </w:rPr>
        <w:t>Lending Club Loan Data (Kaggle) — https://www.kaggle.com/datasets/wordsforthewise/lending-club</w:t>
      </w:r>
    </w:p>
    <w:p w14:paraId="12BEA1F3">
      <w:pPr>
        <w:pStyle w:val="18"/>
        <w:keepLines/>
        <w:numPr>
          <w:ilvl w:val="0"/>
          <w:numId w:val="1"/>
        </w:numPr>
        <w:spacing w:after="100" w:line="276" w:lineRule="auto"/>
      </w:pPr>
      <w:r>
        <w:rPr>
          <w:rFonts w:ascii="Times New Roman" w:hAnsi="Times New Roman" w:eastAsia="Times New Roman" w:cs="Times New Roman"/>
        </w:rPr>
        <w:t>Snowflake Documentation — https://docs.snowflake.com</w:t>
      </w:r>
    </w:p>
    <w:p w14:paraId="2A61CD62">
      <w:pPr>
        <w:pStyle w:val="18"/>
        <w:keepLines/>
        <w:numPr>
          <w:ilvl w:val="0"/>
          <w:numId w:val="1"/>
        </w:numPr>
        <w:spacing w:after="100" w:line="276" w:lineRule="auto"/>
      </w:pPr>
      <w:r>
        <w:rPr>
          <w:rFonts w:ascii="Times New Roman" w:hAnsi="Times New Roman" w:eastAsia="Times New Roman" w:cs="Times New Roman"/>
          <w:lang w:val="en-US"/>
        </w:rPr>
        <w:t>dbt Documentation — https://docs.getdbt.com</w:t>
      </w:r>
    </w:p>
    <w:p w14:paraId="2B9292CB">
      <w:pPr>
        <w:pStyle w:val="18"/>
        <w:keepLines/>
        <w:numPr>
          <w:ilvl w:val="0"/>
          <w:numId w:val="1"/>
        </w:numPr>
        <w:spacing w:after="100" w:line="276" w:lineRule="auto"/>
      </w:pPr>
      <w:r>
        <w:rPr>
          <w:rFonts w:ascii="Times New Roman" w:hAnsi="Times New Roman" w:eastAsia="Times New Roman" w:cs="Times New Roman"/>
          <w:lang w:val="en-US"/>
        </w:rPr>
        <w:t>Dagster Documentation — https://docs.dagster.io</w:t>
      </w:r>
    </w:p>
    <w:p w14:paraId="23FE4430">
      <w:pPr>
        <w:pStyle w:val="18"/>
        <w:keepLines/>
        <w:numPr>
          <w:ilvl w:val="0"/>
          <w:numId w:val="1"/>
        </w:numPr>
        <w:spacing w:after="100" w:line="276" w:lineRule="auto"/>
      </w:pPr>
      <w:r>
        <w:rPr>
          <w:rFonts w:ascii="Times New Roman" w:hAnsi="Times New Roman" w:eastAsia="Times New Roman" w:cs="Times New Roman"/>
          <w:lang w:val="en-US"/>
        </w:rPr>
        <w:t>Streamlit in Snowflake Documentation — https://docs.snowflake.com/en/developer-guide/streamlit/getting-started/overview</w:t>
      </w:r>
    </w:p>
    <w:p w14:paraId="02D60FA5">
      <w:pPr>
        <w:pStyle w:val="18"/>
        <w:keepLines/>
        <w:numPr>
          <w:ilvl w:val="0"/>
          <w:numId w:val="1"/>
        </w:numPr>
        <w:spacing w:after="100" w:line="276" w:lineRule="auto"/>
      </w:pPr>
      <w:r>
        <w:rPr>
          <w:rFonts w:ascii="Times New Roman" w:hAnsi="Times New Roman" w:eastAsia="Times New Roman" w:cs="Times New Roman"/>
        </w:rPr>
        <w:t>Azure Blob Storage Documentation — https://learn.microsoft.com/en-us/azure/storage/blobs/</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0BC9C">
    <w:pPr>
      <w:pBdr>
        <w:top w:val="single" w:color="CCCCCC" w:sz="4" w:space="4"/>
      </w:pBdr>
      <w:jc w:val="center"/>
    </w:pPr>
    <w:r>
      <w:rPr>
        <w:rFonts w:ascii="Times New Roman" w:hAnsi="Times New Roman" w:eastAsia="Times New Roman" w:cs="Times New Roman"/>
        <w:color w:val="6B7280"/>
        <w:sz w:val="16"/>
        <w:szCs w:val="16"/>
      </w:rPr>
      <w:t xml:space="preserve">Credit Risk &amp; Loan Portfolio Analytics Pipeline     |     Page </w:t>
    </w:r>
    <w:r>
      <w:rPr>
        <w:rFonts w:ascii="Times New Roman" w:hAnsi="Times New Roman" w:eastAsia="Times New Roman" w:cs="Times New Roman"/>
        <w:color w:val="6B7280"/>
        <w:sz w:val="16"/>
        <w:szCs w:val="16"/>
      </w:rPr>
      <w:fldChar w:fldCharType="begin"/>
    </w:r>
    <w:r>
      <w:rPr>
        <w:rFonts w:ascii="Times New Roman" w:hAnsi="Times New Roman" w:eastAsia="Times New Roman" w:cs="Times New Roman"/>
        <w:color w:val="6B7280"/>
        <w:sz w:val="16"/>
        <w:szCs w:val="16"/>
      </w:rPr>
      <w:instrText xml:space="preserve">PAGE</w:instrText>
    </w:r>
    <w:r>
      <w:rPr>
        <w:rFonts w:ascii="Times New Roman" w:hAnsi="Times New Roman" w:eastAsia="Times New Roman" w:cs="Times New Roman"/>
        <w:color w:val="6B7280"/>
        <w:sz w:val="16"/>
        <w:szCs w:val="16"/>
      </w:rPr>
      <w:fldChar w:fldCharType="separate"/>
    </w:r>
    <w:r>
      <w:rPr>
        <w:rFonts w:ascii="Times New Roman" w:hAnsi="Times New Roman" w:eastAsia="Times New Roman" w:cs="Times New Roman"/>
        <w:color w:val="6B7280"/>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6A5A5AB9"/>
    <w:rsid w:val="02BE606B"/>
    <w:rsid w:val="1280F672"/>
    <w:rsid w:val="179A7FA5"/>
    <w:rsid w:val="17F09CAD"/>
    <w:rsid w:val="1A703B93"/>
    <w:rsid w:val="1F3913A4"/>
    <w:rsid w:val="253FAD36"/>
    <w:rsid w:val="259CC9B7"/>
    <w:rsid w:val="25FEBBCC"/>
    <w:rsid w:val="26A26C70"/>
    <w:rsid w:val="29861A5F"/>
    <w:rsid w:val="29978AFA"/>
    <w:rsid w:val="3002EFAD"/>
    <w:rsid w:val="347B4BFC"/>
    <w:rsid w:val="3519CD11"/>
    <w:rsid w:val="35286F0A"/>
    <w:rsid w:val="3871670E"/>
    <w:rsid w:val="39577E36"/>
    <w:rsid w:val="3B4015D8"/>
    <w:rsid w:val="406AECB2"/>
    <w:rsid w:val="42223A01"/>
    <w:rsid w:val="43156A8B"/>
    <w:rsid w:val="43A373B4"/>
    <w:rsid w:val="473C1475"/>
    <w:rsid w:val="48331902"/>
    <w:rsid w:val="4C0E44E8"/>
    <w:rsid w:val="4E1AF55A"/>
    <w:rsid w:val="53B697E9"/>
    <w:rsid w:val="55F73153"/>
    <w:rsid w:val="566C6A2F"/>
    <w:rsid w:val="596C84E4"/>
    <w:rsid w:val="5CAFDB85"/>
    <w:rsid w:val="5D99D67F"/>
    <w:rsid w:val="5DA04425"/>
    <w:rsid w:val="6229125E"/>
    <w:rsid w:val="62F02284"/>
    <w:rsid w:val="649FD938"/>
    <w:rsid w:val="64AF02B3"/>
    <w:rsid w:val="6525FAD8"/>
    <w:rsid w:val="66AD8456"/>
    <w:rsid w:val="66CC218D"/>
    <w:rsid w:val="6765D6AB"/>
    <w:rsid w:val="67AA34C1"/>
    <w:rsid w:val="6A5A5AB9"/>
    <w:rsid w:val="6A730566"/>
    <w:rsid w:val="6B5122F2"/>
    <w:rsid w:val="6C364A8F"/>
    <w:rsid w:val="729544C6"/>
    <w:rsid w:val="7A8719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60" w:after="160"/>
    </w:pPr>
    <w:rPr>
      <w:rFonts w:ascii="Times New Roman" w:hAnsi="Times New Roman" w:eastAsia="Times New Roman" w:cs="Times New Roman"/>
      <w:b/>
      <w:bCs/>
      <w:color w:val="1B2A4A"/>
      <w:sz w:val="30"/>
      <w:szCs w:val="30"/>
    </w:rPr>
  </w:style>
  <w:style w:type="paragraph" w:styleId="3">
    <w:name w:val="heading 2"/>
    <w:next w:val="1"/>
    <w:qFormat/>
    <w:uiPriority w:val="0"/>
    <w:pPr>
      <w:spacing w:before="280" w:after="140"/>
    </w:pPr>
    <w:rPr>
      <w:rFonts w:ascii="Times New Roman" w:hAnsi="Times New Roman" w:eastAsia="Times New Roman" w:cs="Times New Roman"/>
      <w:b/>
      <w:bCs/>
      <w:color w:val="1B2A4A"/>
      <w:sz w:val="25"/>
      <w:szCs w:val="25"/>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2"/>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3003</Words>
  <Characters>18240</Characters>
  <TotalTime>2</TotalTime>
  <ScaleCrop>false</ScaleCrop>
  <LinksUpToDate>false</LinksUpToDate>
  <CharactersWithSpaces>21092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2026-08-09T15:04:00Z</dcterms:created>
  <dc:creator>Un-named</dc:creator>
  <cp:lastModifiedBy>WPS_1786380201</cp:lastModifiedBy>
  <dcterms:modified xsi:type="dcterms:W3CDTF">2026-08-12T12:25:56Z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821C40E5B48B49D6B1B9BE77851958DE_12</vt:lpwstr>
  </property>
  <property fmtid="{D5CDD505-2E9C-101B-9397-08002B2CF9AE}" pid="4" name="KSOTemplateDocerSaveRecord">
    <vt:lpwstr>eyJoZGlkIjoiMGYwZjNmYzY2YmQ4Y2U3MTFkYTE2YjliNGFmMmJiMjEiLCJ1c2VySWQiOiI1NDk3Njg0OTI1ODUifQ==</vt:lpwstr>
  </property>
</Properties>
</file>