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E09DE">
      <w:pPr>
        <w:spacing w:before="400" w:after="100"/>
        <w:jc w:val="center"/>
      </w:pPr>
      <w:bookmarkStart w:id="0" w:name="_GoBack"/>
      <w:bookmarkEnd w:id="0"/>
      <w:r>
        <w:rPr>
          <w:b/>
          <w:bCs/>
          <w:color w:val="1F3864"/>
          <w:sz w:val="36"/>
          <w:szCs w:val="36"/>
        </w:rPr>
        <w:t>NHMS — HOLIDAY CALENDAR AWARENESS</w:t>
      </w:r>
    </w:p>
    <w:p w14:paraId="1E32B600">
      <w:pPr>
        <w:spacing w:after="400"/>
        <w:jc w:val="center"/>
      </w:pPr>
      <w:r>
        <w:rPr>
          <w:b/>
          <w:bCs/>
          <w:color w:val="2E5395"/>
          <w:sz w:val="26"/>
          <w:szCs w:val="26"/>
        </w:rPr>
        <w:t>Change Design Output</w:t>
      </w:r>
    </w:p>
    <w:p w14:paraId="73255682">
      <w:pPr>
        <w:pStyle w:val="2"/>
        <w:spacing w:before="320" w:after="160"/>
      </w:pPr>
      <w:r>
        <w:t>1. Decision Points &amp; Final Decisions</w:t>
      </w:r>
    </w:p>
    <w:p w14:paraId="11EE1DFF">
      <w:pPr>
        <w:spacing w:after="140"/>
      </w:pPr>
      <w:r>
        <w:rPr>
          <w:b w:val="0"/>
          <w:bCs w:val="0"/>
          <w:i w:val="0"/>
          <w:iCs w:val="0"/>
        </w:rPr>
        <w:t>Each item below has multiple design options proposed across the source analyses. The table below summarizes the options considered and the final decision with rationale.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3"/>
        <w:gridCol w:w="1814"/>
        <w:gridCol w:w="3629"/>
        <w:gridCol w:w="4234"/>
      </w:tblGrid>
      <w:tr w14:paraId="3E1D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3" w:type="dxa"/>
            <w:shd w:val="clear" w:color="auto" w:fill="1F3864"/>
            <w:tcMar>
              <w:top w:w="80" w:type="dxa"/>
              <w:left w:w="100" w:type="dxa"/>
              <w:bottom w:w="80" w:type="dxa"/>
              <w:right w:w="100" w:type="dxa"/>
            </w:tcMar>
            <w:vAlign w:val="center"/>
          </w:tcPr>
          <w:p w14:paraId="5F89D602">
            <w:r>
              <w:rPr>
                <w:b/>
                <w:bCs/>
                <w:color w:val="FFFFFF"/>
                <w:sz w:val="18"/>
                <w:szCs w:val="18"/>
              </w:rPr>
              <w:t>#</w:t>
            </w:r>
          </w:p>
        </w:tc>
        <w:tc>
          <w:tcPr>
            <w:tcW w:w="1814" w:type="dxa"/>
            <w:shd w:val="clear" w:color="auto" w:fill="1F3864"/>
            <w:tcMar>
              <w:top w:w="80" w:type="dxa"/>
              <w:left w:w="100" w:type="dxa"/>
              <w:bottom w:w="80" w:type="dxa"/>
              <w:right w:w="100" w:type="dxa"/>
            </w:tcMar>
            <w:vAlign w:val="center"/>
          </w:tcPr>
          <w:p w14:paraId="209B93DF">
            <w:r>
              <w:rPr>
                <w:b/>
                <w:bCs/>
                <w:color w:val="FFFFFF"/>
                <w:sz w:val="18"/>
                <w:szCs w:val="18"/>
              </w:rPr>
              <w:t>Decision Point</w:t>
            </w:r>
          </w:p>
        </w:tc>
        <w:tc>
          <w:tcPr>
            <w:tcW w:w="3629" w:type="dxa"/>
            <w:shd w:val="clear" w:color="auto" w:fill="1F3864"/>
            <w:tcMar>
              <w:top w:w="80" w:type="dxa"/>
              <w:left w:w="100" w:type="dxa"/>
              <w:bottom w:w="80" w:type="dxa"/>
              <w:right w:w="100" w:type="dxa"/>
            </w:tcMar>
            <w:vAlign w:val="center"/>
          </w:tcPr>
          <w:p w14:paraId="00A0E072">
            <w:r>
              <w:rPr>
                <w:b/>
                <w:bCs/>
                <w:color w:val="FFFFFF"/>
                <w:sz w:val="18"/>
                <w:szCs w:val="18"/>
              </w:rPr>
              <w:t>Options Considered</w:t>
            </w:r>
          </w:p>
        </w:tc>
        <w:tc>
          <w:tcPr>
            <w:tcW w:w="4234" w:type="dxa"/>
            <w:shd w:val="clear" w:color="auto" w:fill="1F3864"/>
            <w:tcMar>
              <w:top w:w="80" w:type="dxa"/>
              <w:left w:w="100" w:type="dxa"/>
              <w:bottom w:w="80" w:type="dxa"/>
              <w:right w:w="100" w:type="dxa"/>
            </w:tcMar>
            <w:vAlign w:val="center"/>
          </w:tcPr>
          <w:p w14:paraId="76A964B8">
            <w:r>
              <w:rPr>
                <w:b/>
                <w:bCs/>
                <w:color w:val="FFFFFF"/>
                <w:sz w:val="18"/>
                <w:szCs w:val="18"/>
              </w:rPr>
              <w:t>FINAL DECISION &amp; RATIONALE</w:t>
            </w:r>
          </w:p>
        </w:tc>
      </w:tr>
      <w:tr w14:paraId="4B98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FFFFF"/>
            <w:tcMar>
              <w:top w:w="60" w:type="dxa"/>
              <w:left w:w="100" w:type="dxa"/>
              <w:bottom w:w="60" w:type="dxa"/>
              <w:right w:w="100" w:type="dxa"/>
            </w:tcMar>
            <w:vAlign w:val="top"/>
          </w:tcPr>
          <w:p w14:paraId="5C8102A3">
            <w:pPr>
              <w:spacing w:after="40"/>
            </w:pPr>
            <w:r>
              <w:rPr>
                <w:sz w:val="18"/>
                <w:szCs w:val="18"/>
              </w:rPr>
              <w:t>1</w:t>
            </w:r>
          </w:p>
        </w:tc>
        <w:tc>
          <w:tcPr>
            <w:tcW w:w="1814" w:type="dxa"/>
            <w:shd w:val="clear" w:color="auto" w:fill="FFFFFF"/>
            <w:tcMar>
              <w:top w:w="60" w:type="dxa"/>
              <w:left w:w="100" w:type="dxa"/>
              <w:bottom w:w="60" w:type="dxa"/>
              <w:right w:w="100" w:type="dxa"/>
            </w:tcMar>
            <w:vAlign w:val="top"/>
          </w:tcPr>
          <w:p w14:paraId="5C819948">
            <w:pPr>
              <w:spacing w:after="40"/>
            </w:pPr>
            <w:r>
              <w:rPr>
                <w:sz w:val="18"/>
                <w:szCs w:val="18"/>
              </w:rPr>
              <w:t>Where to configure Holidays</w:t>
            </w:r>
          </w:p>
        </w:tc>
        <w:tc>
          <w:tcPr>
            <w:tcW w:w="3629" w:type="dxa"/>
            <w:shd w:val="clear" w:color="auto" w:fill="FFFFFF"/>
            <w:tcMar>
              <w:top w:w="60" w:type="dxa"/>
              <w:left w:w="100" w:type="dxa"/>
              <w:bottom w:w="60" w:type="dxa"/>
              <w:right w:w="100" w:type="dxa"/>
            </w:tcMar>
            <w:vAlign w:val="top"/>
          </w:tcPr>
          <w:p w14:paraId="737ECD61">
            <w:pPr>
              <w:spacing w:after="40"/>
            </w:pPr>
            <w:r>
              <w:rPr>
                <w:sz w:val="18"/>
                <w:szCs w:val="18"/>
              </w:rPr>
              <w:t>• Add 1 section to AD-05 Facility Settings (simplest)</w:t>
            </w:r>
          </w:p>
          <w:p w14:paraId="3D7F472A">
            <w:pPr>
              <w:spacing w:after="40"/>
            </w:pPr>
            <w:r>
              <w:rPr>
                <w:sz w:val="18"/>
                <w:szCs w:val="18"/>
              </w:rPr>
              <w:t>• Create a separate new Admin screen "Holiday Calendar Configuration" with a distinct Facility/State/Timezone entity</w:t>
            </w:r>
          </w:p>
          <w:p w14:paraId="4E379A15">
            <w:pPr>
              <w:spacing w:after="40"/>
            </w:pPr>
            <w:r>
              <w:rPr>
                <w:sz w:val="18"/>
                <w:szCs w:val="18"/>
              </w:rPr>
              <w:t>• Add a dedicated tab inside AD-09 SLA Configuration</w:t>
            </w:r>
          </w:p>
        </w:tc>
        <w:tc>
          <w:tcPr>
            <w:tcW w:w="4234" w:type="dxa"/>
            <w:shd w:val="clear" w:color="auto" w:fill="FFFFFF"/>
            <w:tcMar>
              <w:top w:w="60" w:type="dxa"/>
              <w:left w:w="100" w:type="dxa"/>
              <w:bottom w:w="60" w:type="dxa"/>
              <w:right w:w="100" w:type="dxa"/>
            </w:tcMar>
            <w:vAlign w:val="top"/>
          </w:tcPr>
          <w:p w14:paraId="0D6FFFCE">
            <w:pPr>
              <w:spacing w:after="40"/>
            </w:pPr>
            <w:r>
              <w:rPr>
                <w:sz w:val="18"/>
                <w:szCs w:val="18"/>
              </w:rPr>
              <w:t>Add a "State Holidays Configuration" section to the bottom of AD-05. Rationale: the MVP covers only 1 facility / 1 state (California), so a separate Holiday Calendar entity with Facility/State/Timezone dimensions isn't needed. Lowest dev cost, sufficient for the actual need.</w:t>
            </w:r>
          </w:p>
        </w:tc>
      </w:tr>
      <w:tr w14:paraId="4D28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2F2F2"/>
            <w:tcMar>
              <w:top w:w="60" w:type="dxa"/>
              <w:left w:w="100" w:type="dxa"/>
              <w:bottom w:w="60" w:type="dxa"/>
              <w:right w:w="100" w:type="dxa"/>
            </w:tcMar>
            <w:vAlign w:val="top"/>
          </w:tcPr>
          <w:p w14:paraId="380D188A">
            <w:pPr>
              <w:spacing w:after="40"/>
            </w:pPr>
            <w:r>
              <w:rPr>
                <w:sz w:val="18"/>
                <w:szCs w:val="18"/>
              </w:rPr>
              <w:t>2</w:t>
            </w:r>
          </w:p>
        </w:tc>
        <w:tc>
          <w:tcPr>
            <w:tcW w:w="1814" w:type="dxa"/>
            <w:shd w:val="clear" w:color="auto" w:fill="F2F2F2"/>
            <w:tcMar>
              <w:top w:w="60" w:type="dxa"/>
              <w:left w:w="100" w:type="dxa"/>
              <w:bottom w:w="60" w:type="dxa"/>
              <w:right w:w="100" w:type="dxa"/>
            </w:tcMar>
            <w:vAlign w:val="top"/>
          </w:tcPr>
          <w:p w14:paraId="74D6071E">
            <w:pPr>
              <w:spacing w:after="40"/>
            </w:pPr>
            <w:r>
              <w:rPr>
                <w:sz w:val="18"/>
                <w:szCs w:val="18"/>
              </w:rPr>
              <w:t>Do Federal Holidays need a management UI?</w:t>
            </w:r>
          </w:p>
        </w:tc>
        <w:tc>
          <w:tcPr>
            <w:tcW w:w="3629" w:type="dxa"/>
            <w:shd w:val="clear" w:color="auto" w:fill="F2F2F2"/>
            <w:tcMar>
              <w:top w:w="60" w:type="dxa"/>
              <w:left w:w="100" w:type="dxa"/>
              <w:bottom w:w="60" w:type="dxa"/>
              <w:right w:w="100" w:type="dxa"/>
            </w:tcMar>
            <w:vAlign w:val="top"/>
          </w:tcPr>
          <w:p w14:paraId="3ED2AF55">
            <w:pPr>
              <w:spacing w:after="40"/>
            </w:pPr>
            <w:r>
              <w:rPr>
                <w:sz w:val="18"/>
                <w:szCs w:val="18"/>
              </w:rPr>
              <w:t>• No UI needed — hardcode 11 days into seed data (AD-10)</w:t>
            </w:r>
          </w:p>
          <w:p w14:paraId="117AC627">
            <w:pPr>
              <w:spacing w:after="40"/>
            </w:pPr>
            <w:r>
              <w:rPr>
                <w:sz w:val="18"/>
                <w:szCs w:val="18"/>
              </w:rPr>
              <w:t>• UI with Add/Edit/Deactivate like State Holidays</w:t>
            </w:r>
          </w:p>
          <w:p w14:paraId="534E4FF7">
            <w:pPr>
              <w:spacing w:after="40"/>
            </w:pPr>
            <w:r>
              <w:rPr>
                <w:sz w:val="18"/>
                <w:szCs w:val="18"/>
              </w:rPr>
              <w:t>• Toggle to enable/disable each Federal day</w:t>
            </w:r>
          </w:p>
        </w:tc>
        <w:tc>
          <w:tcPr>
            <w:tcW w:w="4234" w:type="dxa"/>
            <w:shd w:val="clear" w:color="auto" w:fill="F2F2F2"/>
            <w:tcMar>
              <w:top w:w="60" w:type="dxa"/>
              <w:left w:w="100" w:type="dxa"/>
              <w:bottom w:w="60" w:type="dxa"/>
              <w:right w:w="100" w:type="dxa"/>
            </w:tcMar>
            <w:vAlign w:val="top"/>
          </w:tcPr>
          <w:p w14:paraId="3AE9BCE9">
            <w:pPr>
              <w:spacing w:after="40"/>
            </w:pPr>
            <w:r>
              <w:rPr>
                <w:sz w:val="18"/>
                <w:szCs w:val="18"/>
              </w:rPr>
              <w:t>No UI needed. The 11 Federal Holidays are fixed by federal law and rarely change → hardcode/seed. Saves effort, reduces risk of admin misconfiguration.</w:t>
            </w:r>
          </w:p>
        </w:tc>
      </w:tr>
      <w:tr w14:paraId="2FC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FFFFF"/>
            <w:tcMar>
              <w:top w:w="60" w:type="dxa"/>
              <w:left w:w="100" w:type="dxa"/>
              <w:bottom w:w="60" w:type="dxa"/>
              <w:right w:w="100" w:type="dxa"/>
            </w:tcMar>
            <w:vAlign w:val="top"/>
          </w:tcPr>
          <w:p w14:paraId="2F2704FC">
            <w:pPr>
              <w:spacing w:after="40"/>
            </w:pPr>
            <w:r>
              <w:rPr>
                <w:sz w:val="18"/>
                <w:szCs w:val="18"/>
              </w:rPr>
              <w:t>3</w:t>
            </w:r>
          </w:p>
        </w:tc>
        <w:tc>
          <w:tcPr>
            <w:tcW w:w="1814" w:type="dxa"/>
            <w:shd w:val="clear" w:color="auto" w:fill="FFFFFF"/>
            <w:tcMar>
              <w:top w:w="60" w:type="dxa"/>
              <w:left w:w="100" w:type="dxa"/>
              <w:bottom w:w="60" w:type="dxa"/>
              <w:right w:w="100" w:type="dxa"/>
            </w:tcMar>
            <w:vAlign w:val="top"/>
          </w:tcPr>
          <w:p w14:paraId="50EA6F75">
            <w:pPr>
              <w:spacing w:after="40"/>
            </w:pPr>
            <w:r>
              <w:rPr>
                <w:sz w:val="18"/>
                <w:szCs w:val="18"/>
              </w:rPr>
              <w:t>Should the incident SLA (24-48h, NFR-06) be "holiday-aware"?</w:t>
            </w:r>
          </w:p>
        </w:tc>
        <w:tc>
          <w:tcPr>
            <w:tcW w:w="3629" w:type="dxa"/>
            <w:shd w:val="clear" w:color="auto" w:fill="FFFFFF"/>
            <w:tcMar>
              <w:top w:w="60" w:type="dxa"/>
              <w:left w:w="100" w:type="dxa"/>
              <w:bottom w:w="60" w:type="dxa"/>
              <w:right w:w="100" w:type="dxa"/>
            </w:tcMar>
            <w:vAlign w:val="top"/>
          </w:tcPr>
          <w:p w14:paraId="477181C6">
            <w:pPr>
              <w:spacing w:after="40"/>
            </w:pPr>
            <w:r>
              <w:rPr>
                <w:sz w:val="18"/>
                <w:szCs w:val="18"/>
              </w:rPr>
              <w:t>• Keep as-is — continuous hourly countdown, unchanged</w:t>
            </w:r>
          </w:p>
          <w:p w14:paraId="7C0535E4">
            <w:pPr>
              <w:spacing w:after="40"/>
            </w:pPr>
            <w:r>
              <w:rPr>
                <w:sz w:val="18"/>
                <w:szCs w:val="18"/>
              </w:rPr>
              <w:t>• Configurable field for Calendar Hours / Business Hours + exclude-holiday per severity</w:t>
            </w:r>
          </w:p>
          <w:p w14:paraId="78EC10C9">
            <w:pPr>
              <w:spacing w:after="40"/>
            </w:pPr>
            <w:r>
              <w:rPr>
                <w:sz w:val="18"/>
                <w:szCs w:val="18"/>
              </w:rPr>
              <w:t>• SLA automatically extends to the next business day when it falls on a holiday</w:t>
            </w:r>
          </w:p>
          <w:p w14:paraId="33313F53">
            <w:pPr>
              <w:spacing w:after="40"/>
            </w:pPr>
            <w:r>
              <w:rPr>
                <w:sz w:val="18"/>
                <w:szCs w:val="18"/>
              </w:rPr>
              <w:t>• "Exclude Holidays" checkbox on each severity level</w:t>
            </w:r>
          </w:p>
        </w:tc>
        <w:tc>
          <w:tcPr>
            <w:tcW w:w="4234" w:type="dxa"/>
            <w:shd w:val="clear" w:color="auto" w:fill="FFFFFF"/>
            <w:tcMar>
              <w:top w:w="60" w:type="dxa"/>
              <w:left w:w="100" w:type="dxa"/>
              <w:bottom w:w="60" w:type="dxa"/>
              <w:right w:w="100" w:type="dxa"/>
            </w:tcMar>
            <w:vAlign w:val="top"/>
          </w:tcPr>
          <w:p w14:paraId="629B58B6">
            <w:pPr>
              <w:spacing w:after="40"/>
            </w:pPr>
            <w:r>
              <w:rPr>
                <w:sz w:val="18"/>
                <w:szCs w:val="18"/>
              </w:rPr>
              <w:t>Keep NFR-06 unchanged (continuous hourly countdown) — NOT holiday-aware. This is the highest legal-risk change in the entire CR — no source cites a specific regulation confirming that state agencies actually extend SLA deadlines for holidays. Logged as Open Item OI-01 for Product Owner/Legal confirmation before reconsidering.</w:t>
            </w:r>
          </w:p>
        </w:tc>
      </w:tr>
      <w:tr w14:paraId="0BA7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2F2F2"/>
            <w:tcMar>
              <w:top w:w="60" w:type="dxa"/>
              <w:left w:w="100" w:type="dxa"/>
              <w:bottom w:w="60" w:type="dxa"/>
              <w:right w:w="100" w:type="dxa"/>
            </w:tcMar>
            <w:vAlign w:val="top"/>
          </w:tcPr>
          <w:p w14:paraId="6E14540C">
            <w:pPr>
              <w:spacing w:after="40"/>
            </w:pPr>
            <w:r>
              <w:rPr>
                <w:sz w:val="18"/>
                <w:szCs w:val="18"/>
              </w:rPr>
              <w:t>4</w:t>
            </w:r>
          </w:p>
        </w:tc>
        <w:tc>
          <w:tcPr>
            <w:tcW w:w="1814" w:type="dxa"/>
            <w:shd w:val="clear" w:color="auto" w:fill="F2F2F2"/>
            <w:tcMar>
              <w:top w:w="60" w:type="dxa"/>
              <w:left w:w="100" w:type="dxa"/>
              <w:bottom w:w="60" w:type="dxa"/>
              <w:right w:w="100" w:type="dxa"/>
            </w:tcMar>
            <w:vAlign w:val="top"/>
          </w:tcPr>
          <w:p w14:paraId="5D7F81CE">
            <w:pPr>
              <w:spacing w:after="40"/>
            </w:pPr>
            <w:r>
              <w:rPr>
                <w:sz w:val="18"/>
                <w:szCs w:val="18"/>
              </w:rPr>
              <w:t>Should staffing ratio (BR-01) have a separate "Holiday Minimum"?</w:t>
            </w:r>
          </w:p>
        </w:tc>
        <w:tc>
          <w:tcPr>
            <w:tcW w:w="3629" w:type="dxa"/>
            <w:shd w:val="clear" w:color="auto" w:fill="F2F2F2"/>
            <w:tcMar>
              <w:top w:w="60" w:type="dxa"/>
              <w:left w:w="100" w:type="dxa"/>
              <w:bottom w:w="60" w:type="dxa"/>
              <w:right w:w="100" w:type="dxa"/>
            </w:tcMar>
            <w:vAlign w:val="top"/>
          </w:tcPr>
          <w:p w14:paraId="3B39DBD0">
            <w:pPr>
              <w:spacing w:after="40"/>
            </w:pPr>
            <w:r>
              <w:rPr>
                <w:sz w:val="18"/>
                <w:szCs w:val="18"/>
              </w:rPr>
              <w:t>• Keep the formula unchanged; only attach a reference note/tag</w:t>
            </w:r>
          </w:p>
          <w:p w14:paraId="18CD70BD">
            <w:pPr>
              <w:spacing w:after="40"/>
            </w:pPr>
            <w:r>
              <w:rPr>
                <w:sz w:val="18"/>
                <w:szCs w:val="18"/>
              </w:rPr>
              <w:t>• Separate Holiday Minimum RN/LPN/CNA field distinct from the normal minimum</w:t>
            </w:r>
          </w:p>
          <w:p w14:paraId="3371CCBA">
            <w:pPr>
              <w:spacing w:after="40"/>
            </w:pPr>
            <w:r>
              <w:rPr>
                <w:sz w:val="18"/>
                <w:szCs w:val="18"/>
              </w:rPr>
              <w:t>• Wage badge 1.5x/2x pay (belongs to Module 4 — not yet built)</w:t>
            </w:r>
          </w:p>
          <w:p w14:paraId="03204D27">
            <w:pPr>
              <w:spacing w:after="40"/>
            </w:pPr>
            <w:r>
              <w:rPr>
                <w:sz w:val="18"/>
                <w:szCs w:val="18"/>
              </w:rPr>
              <w:t>• "Holiday Demand Forecast" toggle for demand prediction</w:t>
            </w:r>
          </w:p>
        </w:tc>
        <w:tc>
          <w:tcPr>
            <w:tcW w:w="4234" w:type="dxa"/>
            <w:shd w:val="clear" w:color="auto" w:fill="F2F2F2"/>
            <w:tcMar>
              <w:top w:w="60" w:type="dxa"/>
              <w:left w:w="100" w:type="dxa"/>
              <w:bottom w:w="60" w:type="dxa"/>
              <w:right w:w="100" w:type="dxa"/>
            </w:tcMar>
            <w:vAlign w:val="top"/>
          </w:tcPr>
          <w:p w14:paraId="219E27CE">
            <w:pPr>
              <w:spacing w:after="40"/>
            </w:pPr>
            <w:r>
              <w:rPr>
                <w:sz w:val="18"/>
                <w:szCs w:val="18"/>
              </w:rPr>
              <w:t>Do not add a separate holiday minimum field — risk of an admin configuring it lower than the normal minimum, violating BR-01. Add only a reference warning (a "Holiday" badge on the shift schedule); do not change the compliance threshold.</w:t>
            </w:r>
          </w:p>
        </w:tc>
      </w:tr>
      <w:tr w14:paraId="5279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FFFFF"/>
            <w:tcMar>
              <w:top w:w="60" w:type="dxa"/>
              <w:left w:w="100" w:type="dxa"/>
              <w:bottom w:w="60" w:type="dxa"/>
              <w:right w:w="100" w:type="dxa"/>
            </w:tcMar>
            <w:vAlign w:val="top"/>
          </w:tcPr>
          <w:p w14:paraId="38686E6B">
            <w:pPr>
              <w:spacing w:after="40"/>
            </w:pPr>
            <w:r>
              <w:rPr>
                <w:sz w:val="18"/>
                <w:szCs w:val="18"/>
              </w:rPr>
              <w:t>5</w:t>
            </w:r>
          </w:p>
        </w:tc>
        <w:tc>
          <w:tcPr>
            <w:tcW w:w="1814" w:type="dxa"/>
            <w:shd w:val="clear" w:color="auto" w:fill="FFFFFF"/>
            <w:tcMar>
              <w:top w:w="60" w:type="dxa"/>
              <w:left w:w="100" w:type="dxa"/>
              <w:bottom w:w="60" w:type="dxa"/>
              <w:right w:w="100" w:type="dxa"/>
            </w:tcMar>
            <w:vAlign w:val="top"/>
          </w:tcPr>
          <w:p w14:paraId="4B9E363C">
            <w:pPr>
              <w:spacing w:after="40"/>
            </w:pPr>
            <w:r>
              <w:rPr>
                <w:sz w:val="18"/>
                <w:szCs w:val="18"/>
              </w:rPr>
              <w:t>Should clinical tasks be rescheduled because of a holiday?</w:t>
            </w:r>
          </w:p>
        </w:tc>
        <w:tc>
          <w:tcPr>
            <w:tcW w:w="3629" w:type="dxa"/>
            <w:shd w:val="clear" w:color="auto" w:fill="FFFFFF"/>
            <w:tcMar>
              <w:top w:w="60" w:type="dxa"/>
              <w:left w:w="100" w:type="dxa"/>
              <w:bottom w:w="60" w:type="dxa"/>
              <w:right w:w="100" w:type="dxa"/>
            </w:tcMar>
            <w:vAlign w:val="top"/>
          </w:tcPr>
          <w:p w14:paraId="27F4DDBE">
            <w:pPr>
              <w:spacing w:after="40"/>
            </w:pPr>
            <w:r>
              <w:rPr>
                <w:sz w:val="18"/>
                <w:szCs w:val="18"/>
              </w:rPr>
              <w:t>• Direct care stays unchanged; not addressed in detail</w:t>
            </w:r>
          </w:p>
          <w:p w14:paraId="0FD5D387">
            <w:pPr>
              <w:spacing w:after="40"/>
            </w:pPr>
            <w:r>
              <w:rPr>
                <w:sz w:val="18"/>
                <w:szCs w:val="18"/>
              </w:rPr>
              <w:t>• Clearly: clinical tasks must NOT be rescheduled/cancelled because of a holiday</w:t>
            </w:r>
          </w:p>
          <w:p w14:paraId="314DD6B3">
            <w:pPr>
              <w:spacing w:after="40"/>
            </w:pPr>
            <w:r>
              <w:rPr>
                <w:sz w:val="18"/>
                <w:szCs w:val="18"/>
              </w:rPr>
              <w:t>• "Excused — Away on Holiday" only applies when the resident is actually absent, not because of the holiday itself</w:t>
            </w:r>
          </w:p>
        </w:tc>
        <w:tc>
          <w:tcPr>
            <w:tcW w:w="4234" w:type="dxa"/>
            <w:shd w:val="clear" w:color="auto" w:fill="FFFFFF"/>
            <w:tcMar>
              <w:top w:w="60" w:type="dxa"/>
              <w:left w:w="100" w:type="dxa"/>
              <w:bottom w:w="60" w:type="dxa"/>
              <w:right w:w="100" w:type="dxa"/>
            </w:tcMar>
            <w:vAlign w:val="top"/>
          </w:tcPr>
          <w:p w14:paraId="361A5F56">
            <w:pPr>
              <w:spacing w:after="40"/>
            </w:pPr>
            <w:r>
              <w:rPr>
                <w:sz w:val="18"/>
                <w:szCs w:val="18"/>
              </w:rPr>
              <w:t>Consensus across sources: clinical tasks must NOT be automatically rescheduled/cancelled/skipped because of a holiday. Administrative tasks (Care Plan Review, IDT Meeting...) may show a "due on holiday" warning, but the legal deadline is not automatically moved (BR-03 unchanged).</w:t>
            </w:r>
          </w:p>
        </w:tc>
      </w:tr>
      <w:tr w14:paraId="6FC1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2F2F2"/>
            <w:tcMar>
              <w:top w:w="60" w:type="dxa"/>
              <w:left w:w="100" w:type="dxa"/>
              <w:bottom w:w="60" w:type="dxa"/>
              <w:right w:w="100" w:type="dxa"/>
            </w:tcMar>
            <w:vAlign w:val="top"/>
          </w:tcPr>
          <w:p w14:paraId="205BFA92">
            <w:pPr>
              <w:spacing w:after="40"/>
            </w:pPr>
            <w:r>
              <w:rPr>
                <w:sz w:val="18"/>
                <w:szCs w:val="18"/>
              </w:rPr>
              <w:t>6</w:t>
            </w:r>
          </w:p>
        </w:tc>
        <w:tc>
          <w:tcPr>
            <w:tcW w:w="1814" w:type="dxa"/>
            <w:shd w:val="clear" w:color="auto" w:fill="F2F2F2"/>
            <w:tcMar>
              <w:top w:w="60" w:type="dxa"/>
              <w:left w:w="100" w:type="dxa"/>
              <w:bottom w:w="60" w:type="dxa"/>
              <w:right w:w="100" w:type="dxa"/>
            </w:tcMar>
            <w:vAlign w:val="top"/>
          </w:tcPr>
          <w:p w14:paraId="74AB2D2D">
            <w:pPr>
              <w:spacing w:after="40"/>
            </w:pPr>
            <w:r>
              <w:rPr>
                <w:sz w:val="18"/>
                <w:szCs w:val="18"/>
              </w:rPr>
              <w:t>Does admission on a holiday need a separate readiness check?</w:t>
            </w:r>
          </w:p>
        </w:tc>
        <w:tc>
          <w:tcPr>
            <w:tcW w:w="3629" w:type="dxa"/>
            <w:shd w:val="clear" w:color="auto" w:fill="F2F2F2"/>
            <w:tcMar>
              <w:top w:w="60" w:type="dxa"/>
              <w:left w:w="100" w:type="dxa"/>
              <w:bottom w:w="60" w:type="dxa"/>
              <w:right w:w="100" w:type="dxa"/>
            </w:tcMar>
            <w:vAlign w:val="top"/>
          </w:tcPr>
          <w:p w14:paraId="64253D75">
            <w:pPr>
              <w:spacing w:after="40"/>
            </w:pPr>
            <w:r>
              <w:rPr>
                <w:sz w:val="18"/>
                <w:szCs w:val="18"/>
              </w:rPr>
              <w:t>• Not addressed</w:t>
            </w:r>
          </w:p>
          <w:p w14:paraId="4B25FB52">
            <w:pPr>
              <w:spacing w:after="40"/>
            </w:pPr>
            <w:r>
              <w:rPr>
                <w:sz w:val="18"/>
                <w:szCs w:val="18"/>
              </w:rPr>
              <w:t>• Add a "Holiday Admission Readiness" section (9 new fields) on M1-US-04/05, checking staffing/bed/medication/equipment readiness</w:t>
            </w:r>
          </w:p>
          <w:p w14:paraId="304FD43B">
            <w:pPr>
              <w:spacing w:after="40"/>
            </w:pPr>
            <w:r>
              <w:rPr>
                <w:sz w:val="18"/>
                <w:szCs w:val="18"/>
              </w:rPr>
              <w:t>• Only addresses Leave of Absence (LOA) — a different issue: a resident leaving the facility, not a new admission</w:t>
            </w:r>
          </w:p>
        </w:tc>
        <w:tc>
          <w:tcPr>
            <w:tcW w:w="4234" w:type="dxa"/>
            <w:shd w:val="clear" w:color="auto" w:fill="F2F2F2"/>
            <w:tcMar>
              <w:top w:w="60" w:type="dxa"/>
              <w:left w:w="100" w:type="dxa"/>
              <w:bottom w:w="60" w:type="dxa"/>
              <w:right w:w="100" w:type="dxa"/>
            </w:tcMar>
            <w:vAlign w:val="top"/>
          </w:tcPr>
          <w:p w14:paraId="077D986F">
            <w:pPr>
              <w:spacing w:after="40"/>
            </w:pPr>
            <w:r>
              <w:rPr>
                <w:sz w:val="18"/>
                <w:szCs w:val="18"/>
              </w:rPr>
              <w:t>Should Have, not Must Have. A reasonable idea for operational safety, but it exceeds the scope of the original "Holiday Calendar Awareness" (adds 9 fields + 4 new business rules). Move to the Phase 2 backlog — see Open Item OI-04.</w:t>
            </w:r>
          </w:p>
        </w:tc>
      </w:tr>
      <w:tr w14:paraId="0BB6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3" w:type="dxa"/>
            <w:shd w:val="clear" w:color="auto" w:fill="FFFFFF"/>
            <w:tcMar>
              <w:top w:w="60" w:type="dxa"/>
              <w:left w:w="100" w:type="dxa"/>
              <w:bottom w:w="60" w:type="dxa"/>
              <w:right w:w="100" w:type="dxa"/>
            </w:tcMar>
            <w:vAlign w:val="top"/>
          </w:tcPr>
          <w:p w14:paraId="7523D2D6">
            <w:pPr>
              <w:spacing w:after="40"/>
            </w:pPr>
            <w:r>
              <w:rPr>
                <w:sz w:val="18"/>
                <w:szCs w:val="18"/>
              </w:rPr>
              <w:t>7</w:t>
            </w:r>
          </w:p>
        </w:tc>
        <w:tc>
          <w:tcPr>
            <w:tcW w:w="1814" w:type="dxa"/>
            <w:shd w:val="clear" w:color="auto" w:fill="FFFFFF"/>
            <w:tcMar>
              <w:top w:w="60" w:type="dxa"/>
              <w:left w:w="100" w:type="dxa"/>
              <w:bottom w:w="60" w:type="dxa"/>
              <w:right w:w="100" w:type="dxa"/>
            </w:tcMar>
            <w:vAlign w:val="top"/>
          </w:tcPr>
          <w:p w14:paraId="78C76BA4">
            <w:pPr>
              <w:spacing w:after="40"/>
            </w:pPr>
            <w:r>
              <w:rPr>
                <w:sz w:val="18"/>
                <w:szCs w:val="18"/>
              </w:rPr>
              <w:t>Low-stock warning before a holiday on Equipment/Supply</w:t>
            </w:r>
          </w:p>
        </w:tc>
        <w:tc>
          <w:tcPr>
            <w:tcW w:w="3629" w:type="dxa"/>
            <w:shd w:val="clear" w:color="auto" w:fill="FFFFFF"/>
            <w:tcMar>
              <w:top w:w="60" w:type="dxa"/>
              <w:left w:w="100" w:type="dxa"/>
              <w:bottom w:w="60" w:type="dxa"/>
              <w:right w:w="100" w:type="dxa"/>
            </w:tcMar>
            <w:vAlign w:val="top"/>
          </w:tcPr>
          <w:p w14:paraId="796759F3">
            <w:pPr>
              <w:spacing w:after="40"/>
            </w:pPr>
            <w:r>
              <w:rPr>
                <w:sz w:val="18"/>
                <w:szCs w:val="18"/>
              </w:rPr>
              <w:t>• Not addressed</w:t>
            </w:r>
          </w:p>
          <w:p w14:paraId="53DDF500">
            <w:pPr>
              <w:spacing w:after="40"/>
            </w:pPr>
            <w:r>
              <w:rPr>
                <w:sz w:val="18"/>
                <w:szCs w:val="18"/>
              </w:rPr>
              <w:t>• Separate "Holiday Safety Stock" field on AD-16</w:t>
            </w:r>
          </w:p>
          <w:p w14:paraId="09ABD761">
            <w:pPr>
              <w:spacing w:after="40"/>
            </w:pPr>
            <w:r>
              <w:rPr>
                <w:sz w:val="18"/>
                <w:szCs w:val="18"/>
              </w:rPr>
              <w:t>• Banner warning to order early when a refill is projected near a holiday</w:t>
            </w:r>
          </w:p>
        </w:tc>
        <w:tc>
          <w:tcPr>
            <w:tcW w:w="4234" w:type="dxa"/>
            <w:shd w:val="clear" w:color="auto" w:fill="FFFFFF"/>
            <w:tcMar>
              <w:top w:w="60" w:type="dxa"/>
              <w:left w:w="100" w:type="dxa"/>
              <w:bottom w:w="60" w:type="dxa"/>
              <w:right w:w="100" w:type="dxa"/>
            </w:tcMar>
            <w:vAlign w:val="top"/>
          </w:tcPr>
          <w:p w14:paraId="6ED3388F">
            <w:pPr>
              <w:spacing w:after="40"/>
            </w:pPr>
            <w:r>
              <w:rPr>
                <w:sz w:val="18"/>
                <w:szCs w:val="18"/>
              </w:rPr>
              <w:t>Should Have. Add a simple warning on AD-16 when a projected refill date falls on/near a holiday, reusing the existing stock threshold — no separate "Holiday Safety Stock" field needed.</w:t>
            </w:r>
          </w:p>
        </w:tc>
      </w:tr>
    </w:tbl>
    <w:p w14:paraId="5132AE7C">
      <w:pPr>
        <w:spacing w:after="200"/>
      </w:pPr>
    </w:p>
    <w:p w14:paraId="2CA8C671">
      <w:pPr>
        <w:pStyle w:val="2"/>
        <w:spacing w:before="320" w:after="160"/>
      </w:pPr>
      <w:r>
        <w:t>2. Final Screen-by-Screen Design</w:t>
      </w:r>
    </w:p>
    <w:p w14:paraId="6AF3C3C1">
      <w:pPr>
        <w:pStyle w:val="3"/>
        <w:spacing w:before="260" w:after="120"/>
      </w:pPr>
      <w:r>
        <w:t>2.1 AD-05 — Facility Settings (Modify — MUST HAVE)</w:t>
      </w:r>
    </w:p>
    <w:p w14:paraId="6A6298DE">
      <w:pPr>
        <w:spacing w:after="140"/>
      </w:pPr>
      <w:r>
        <w:rPr>
          <w:b w:val="0"/>
          <w:bCs w:val="0"/>
          <w:i w:val="0"/>
          <w:iCs w:val="0"/>
        </w:rPr>
        <w:t>Add a new "State Holidays Configuration" section at the bottom of the page (after the 4 existing sections: Rooms &amp; Wings, General Info, Room Rate, Facility Clinical Capability):</w:t>
      </w:r>
    </w:p>
    <w:p w14:paraId="420D662F">
      <w:pPr>
        <w:pStyle w:val="18"/>
        <w:numPr>
          <w:ilvl w:val="0"/>
          <w:numId w:val="1"/>
        </w:numPr>
        <w:spacing w:after="80"/>
      </w:pPr>
      <w:r>
        <w:t>Section header: "State Holidays Configuration (Active State: California)"</w:t>
      </w:r>
    </w:p>
    <w:p w14:paraId="5373B4FE">
      <w:pPr>
        <w:pStyle w:val="18"/>
        <w:numPr>
          <w:ilvl w:val="0"/>
          <w:numId w:val="1"/>
        </w:numPr>
        <w:spacing w:after="80"/>
      </w:pPr>
      <w:r>
        <w:t>Help text: "Manage custom holidays mandated by the state legislature. Changes affect shift/audit logs and holiday warning badges only — does not change SLA or staffing minimums."</w:t>
      </w:r>
    </w:p>
    <w:p w14:paraId="77621603">
      <w:pPr>
        <w:pStyle w:val="18"/>
        <w:numPr>
          <w:ilvl w:val="0"/>
          <w:numId w:val="1"/>
        </w:numPr>
        <w:spacing w:after="80"/>
      </w:pPr>
      <w:r>
        <w:t>Table: Holiday Name | Date (Month/Day) | Repeat Annually | Status (Active/Inactive) | Actions (Edit/Deactivate)</w:t>
      </w:r>
    </w:p>
    <w:p w14:paraId="2984151D">
      <w:pPr>
        <w:pStyle w:val="18"/>
        <w:numPr>
          <w:ilvl w:val="0"/>
          <w:numId w:val="1"/>
        </w:numPr>
        <w:spacing w:after="80"/>
      </w:pPr>
      <w:r>
        <w:t>Button: "+ Add State Holiday" (modal: Holiday Name, Date, Repeat Annually checkbox)</w:t>
      </w:r>
    </w:p>
    <w:p w14:paraId="370197F9">
      <w:pPr>
        <w:pStyle w:val="18"/>
        <w:numPr>
          <w:ilvl w:val="0"/>
          <w:numId w:val="1"/>
        </w:numPr>
        <w:spacing w:after="80"/>
      </w:pPr>
      <w:r>
        <w:t>Audit stamp: "Last updated by [User] on [Timestamp]"</w:t>
      </w:r>
    </w:p>
    <w:p w14:paraId="3462ECDF">
      <w:pPr>
        <w:pStyle w:val="4"/>
        <w:spacing w:before="200" w:after="100"/>
      </w:pPr>
      <w:r>
        <w:t>Business Rules</w:t>
      </w:r>
    </w:p>
    <w:p w14:paraId="27CA1379">
      <w:pPr>
        <w:pStyle w:val="18"/>
        <w:numPr>
          <w:ilvl w:val="0"/>
          <w:numId w:val="1"/>
        </w:numPr>
        <w:spacing w:after="80"/>
      </w:pPr>
      <w:r>
        <w:t>HOL-BR-01: Federal Holidays (11 days) are hardcoded in seed data (AD-10); not shown on this UI.</w:t>
      </w:r>
    </w:p>
    <w:p w14:paraId="432DA883">
      <w:pPr>
        <w:pStyle w:val="18"/>
        <w:numPr>
          <w:ilvl w:val="0"/>
          <w:numId w:val="1"/>
        </w:numPr>
        <w:spacing w:after="80"/>
      </w:pPr>
      <w:r>
        <w:t>HOL-BR-02: Do not allow two State Holidays with the same date within the same facility.</w:t>
      </w:r>
    </w:p>
    <w:p w14:paraId="35EA1911">
      <w:pPr>
        <w:pStyle w:val="18"/>
        <w:numPr>
          <w:ilvl w:val="0"/>
          <w:numId w:val="1"/>
        </w:numPr>
        <w:spacing w:after="80"/>
      </w:pPr>
      <w:r>
        <w:t>HOL-BR-03: Do not hard-delete a Holiday already referenced in historical audit logs — Deactivate only.</w:t>
      </w:r>
    </w:p>
    <w:p w14:paraId="383B280D">
      <w:pPr>
        <w:pStyle w:val="18"/>
        <w:numPr>
          <w:ilvl w:val="0"/>
          <w:numId w:val="1"/>
        </w:numPr>
        <w:spacing w:after="80"/>
      </w:pPr>
      <w:r>
        <w:t>HOL-BR-04: Editing/deleting a Holiday applies to future dates only; historical logs remain unchanged (immutable).</w:t>
      </w:r>
    </w:p>
    <w:p w14:paraId="0BA632FA">
      <w:pPr>
        <w:pStyle w:val="3"/>
        <w:spacing w:before="260" w:after="120"/>
      </w:pPr>
      <w:r>
        <w:t>2.2 AD-09 — SLA Configuration (No Change — informational display only)</w:t>
      </w:r>
    </w:p>
    <w:p w14:paraId="43EAF471">
      <w:pPr>
        <w:pStyle w:val="18"/>
        <w:numPr>
          <w:ilvl w:val="0"/>
          <w:numId w:val="1"/>
        </w:numPr>
        <w:spacing w:after="80"/>
      </w:pPr>
      <w:r>
        <w:t>Keep NFR-06 unchanged (24h/48h continuous hourly countdown). Do not add an "Exclude Holidays" field.</w:t>
      </w:r>
    </w:p>
    <w:p w14:paraId="20D72A28">
      <w:pPr>
        <w:pStyle w:val="18"/>
        <w:numPr>
          <w:ilvl w:val="0"/>
          <w:numId w:val="1"/>
        </w:numPr>
        <w:spacing w:after="80"/>
      </w:pPr>
      <w:r>
        <w:t>See Open Item OI-01 if a legal confirmation later says otherwise.</w:t>
      </w:r>
    </w:p>
    <w:p w14:paraId="0829E43D">
      <w:pPr>
        <w:pStyle w:val="3"/>
        <w:spacing w:before="260" w:after="120"/>
      </w:pPr>
      <w:r>
        <w:t>2.3 AD-07 — Staffing Ratio Configuration (Minor — SHOULD HAVE)</w:t>
      </w:r>
    </w:p>
    <w:p w14:paraId="0B39B27F">
      <w:pPr>
        <w:pStyle w:val="18"/>
        <w:numPr>
          <w:ilvl w:val="0"/>
          <w:numId w:val="1"/>
        </w:numPr>
        <w:spacing w:after="80"/>
      </w:pPr>
      <w:r>
        <w:t>Do not change the BR-01 formula. Add only an optional note/"Holiday" badge on matching dates in the audit log — for reference only, not a compliance condition.</w:t>
      </w:r>
    </w:p>
    <w:p w14:paraId="72683E10">
      <w:pPr>
        <w:pStyle w:val="3"/>
        <w:spacing w:before="260" w:after="120"/>
      </w:pPr>
      <w:r>
        <w:t>2.4 AD-16 — Equipment &amp; Supply Inventory (Minor — SHOULD HAVE)</w:t>
      </w:r>
    </w:p>
    <w:p w14:paraId="3B0A59B4">
      <w:pPr>
        <w:pStyle w:val="18"/>
        <w:numPr>
          <w:ilvl w:val="0"/>
          <w:numId w:val="1"/>
        </w:numPr>
        <w:spacing w:after="80"/>
      </w:pPr>
      <w:r>
        <w:t>Add a warning (banner) when an item's projected refill date falls on/within 2 days before a Holiday: "Upcoming Holiday: Order Supplies Early."</w:t>
      </w:r>
    </w:p>
    <w:p w14:paraId="0ECED7FF">
      <w:pPr>
        <w:pStyle w:val="18"/>
        <w:numPr>
          <w:ilvl w:val="0"/>
          <w:numId w:val="1"/>
        </w:numPr>
        <w:spacing w:after="80"/>
      </w:pPr>
      <w:r>
        <w:t>Do not add a separate holiday stock field — use the existing threshold, just compare against the Holiday Calendar (AD-05).</w:t>
      </w:r>
    </w:p>
    <w:p w14:paraId="2E17CF0F">
      <w:pPr>
        <w:pStyle w:val="3"/>
        <w:spacing w:before="260" w:after="120"/>
      </w:pPr>
      <w:r>
        <w:t>2.5 M2-US-03 — Care Plan Reassessment Trigger (Minor — SHOULD HAVE)</w:t>
      </w:r>
    </w:p>
    <w:p w14:paraId="1E42EBA1">
      <w:pPr>
        <w:pStyle w:val="18"/>
        <w:numPr>
          <w:ilvl w:val="0"/>
          <w:numId w:val="1"/>
        </w:numPr>
        <w:spacing w:after="80"/>
      </w:pPr>
      <w:r>
        <w:t>If the due date (90-day cycle, BR-03) falls on a Holiday: show a "Due on [Holiday Name]" warning badge on the reassessment list.</w:t>
      </w:r>
    </w:p>
    <w:p w14:paraId="4E2F1AF9">
      <w:pPr>
        <w:pStyle w:val="18"/>
        <w:numPr>
          <w:ilvl w:val="0"/>
          <w:numId w:val="1"/>
        </w:numPr>
        <w:spacing w:after="80"/>
      </w:pPr>
      <w:r>
        <w:t>Do not automatically move the deadline — the 90-day cycle still runs continuously (consistent with decision #3 in Section 1).</w:t>
      </w:r>
    </w:p>
    <w:p w14:paraId="1E68613E">
      <w:pPr>
        <w:pStyle w:val="3"/>
        <w:spacing w:before="260" w:after="120"/>
      </w:pPr>
      <w:r>
        <w:t>2.6 M2-US-05 / M2-US-06 — Daily Task List &amp; Task Completion Log (Minor — SHOULD HAVE)</w:t>
      </w:r>
    </w:p>
    <w:p w14:paraId="7E98BD56">
      <w:pPr>
        <w:pStyle w:val="18"/>
        <w:numPr>
          <w:ilvl w:val="0"/>
          <w:numId w:val="1"/>
        </w:numPr>
        <w:spacing w:after="80"/>
      </w:pPr>
      <w:r>
        <w:t>Add a "Holiday" warning icon on the Daily Task List when the current shift falls on a Holiday — informational only.</w:t>
      </w:r>
    </w:p>
    <w:p w14:paraId="60EC2E2B">
      <w:pPr>
        <w:pStyle w:val="18"/>
        <w:numPr>
          <w:ilvl w:val="0"/>
          <w:numId w:val="1"/>
        </w:numPr>
        <w:spacing w:after="80"/>
      </w:pPr>
      <w:r>
        <w:t>HOL-BR-05: Clinical tasks (med-pass, vitals, repositioning, ADL support...) must not be automatically rescheduled, cancelled, or marked "Missed" solely because of a holiday.</w:t>
      </w:r>
    </w:p>
    <w:p w14:paraId="0FD0BFD6">
      <w:pPr>
        <w:pStyle w:val="18"/>
        <w:numPr>
          <w:ilvl w:val="0"/>
          <w:numId w:val="1"/>
        </w:numPr>
        <w:spacing w:after="80"/>
      </w:pPr>
      <w:r>
        <w:t>HOL-BR-06: Holiday is not a valid Reason Code for a Missed Task.</w:t>
      </w:r>
    </w:p>
    <w:p w14:paraId="5D32F216">
      <w:pPr>
        <w:pStyle w:val="3"/>
        <w:spacing w:before="260" w:after="120"/>
      </w:pPr>
      <w:r>
        <w:t>2.7 M7-US-03 / M7-US-04 — Incident Detail &amp; Incident List (No Change to deadline — display only)</w:t>
      </w:r>
    </w:p>
    <w:p w14:paraId="1786A855">
      <w:pPr>
        <w:pStyle w:val="18"/>
        <w:numPr>
          <w:ilvl w:val="0"/>
          <w:numId w:val="1"/>
        </w:numPr>
        <w:spacing w:after="80"/>
      </w:pPr>
      <w:r>
        <w:t>May show an "Occurred during Holiday" badge on Incident Detail for reference/audit purposes only — does not change SLA countdown calculation (keep NFR-06 as-is, per decision #3).</w:t>
      </w:r>
    </w:p>
    <w:p w14:paraId="04CDD07A">
      <w:pPr>
        <w:pStyle w:val="3"/>
        <w:spacing w:before="260" w:after="120"/>
      </w:pPr>
      <w:r>
        <w:t>2.8 SH-US-01 — Dashboard (Nurse/DON/CNA) (Could Have)</w:t>
      </w:r>
    </w:p>
    <w:p w14:paraId="7030146A">
      <w:pPr>
        <w:pStyle w:val="18"/>
        <w:numPr>
          <w:ilvl w:val="0"/>
          <w:numId w:val="1"/>
        </w:numPr>
        <w:spacing w:after="80"/>
      </w:pPr>
      <w:r>
        <w:t>SH-US-01 already has wireframes for all 3 roles (Nurse/DON/CNA) but is secondary, not Core per the current Screen Inventory. When prioritized for development, an "Upcoming Holiday" widget could be added summarizing: upcoming holidays, staffing gaps, tasks due during a holiday — prioritize the DON variant first. Do not create a separate new screen.</w:t>
      </w:r>
    </w:p>
    <w:p w14:paraId="78062D25">
      <w:pPr>
        <w:pStyle w:val="3"/>
        <w:spacing w:before="260" w:after="120"/>
      </w:pPr>
      <w:r>
        <w:t>2.9 No Change (No Impact)</w:t>
      </w:r>
    </w:p>
    <w:p w14:paraId="1499B053">
      <w:pPr>
        <w:spacing w:after="140"/>
      </w:pPr>
      <w:r>
        <w:rPr>
          <w:b w:val="0"/>
          <w:bCs w:val="0"/>
          <w:i w:val="0"/>
          <w:iCs w:val="0"/>
        </w:rPr>
        <w:t>AD-00/AD-00b/AD-15 (Auth), AD-01–AD-04 (User Management), M1-US-03/04/08/09 (Resident Profile, Pre-Admission, LOC), M3-* (eMAR, not yet built), M7-US-01/07 (Report Incident, Chart Unlock), AD-10 (Demo Data Seeder — except seeding the 11 Federal Holidays).</w:t>
      </w:r>
    </w:p>
    <w:p w14:paraId="08E81373">
      <w:pPr>
        <w:pStyle w:val="2"/>
        <w:spacing w:before="320" w:after="160"/>
      </w:pPr>
      <w:r>
        <w:t>3. Consolidated Priority List (Consolidated MoSCoW)</w:t>
      </w:r>
    </w:p>
    <w:p w14:paraId="2B5F8F97">
      <w:pPr>
        <w:pStyle w:val="3"/>
        <w:spacing w:before="260" w:after="120"/>
      </w:pPr>
      <w:r>
        <w:t>MUST HAVE</w:t>
      </w:r>
    </w:p>
    <w:p w14:paraId="344EDA9A">
      <w:pPr>
        <w:pStyle w:val="18"/>
        <w:numPr>
          <w:ilvl w:val="0"/>
          <w:numId w:val="1"/>
        </w:numPr>
        <w:spacing w:after="80"/>
      </w:pPr>
      <w:r>
        <w:t>Holiday data model: Holiday Name, Date, Type (Federal/State), Repeat Annually, Status.</w:t>
      </w:r>
    </w:p>
    <w:p w14:paraId="10260B9E">
      <w:pPr>
        <w:pStyle w:val="18"/>
        <w:numPr>
          <w:ilvl w:val="0"/>
          <w:numId w:val="1"/>
        </w:numPr>
        <w:spacing w:after="80"/>
      </w:pPr>
      <w:r>
        <w:t>Federal Holidays (11 days) pre-seeded in AD-10, no UI needed.</w:t>
      </w:r>
    </w:p>
    <w:p w14:paraId="7234E70E">
      <w:pPr>
        <w:pStyle w:val="18"/>
        <w:numPr>
          <w:ilvl w:val="0"/>
          <w:numId w:val="1"/>
        </w:numPr>
        <w:spacing w:after="80"/>
      </w:pPr>
      <w:r>
        <w:t>State Holidays Configuration — new section in AD-05 (Add/Edit/Deactivate/Audit).</w:t>
      </w:r>
    </w:p>
    <w:p w14:paraId="2E3913A8">
      <w:pPr>
        <w:pStyle w:val="18"/>
        <w:numPr>
          <w:ilvl w:val="0"/>
          <w:numId w:val="1"/>
        </w:numPr>
        <w:spacing w:after="80"/>
      </w:pPr>
      <w:r>
        <w:t>Business rule: Holiday must not be used as a reason to reschedule/cancel a Clinical Task.</w:t>
      </w:r>
    </w:p>
    <w:p w14:paraId="4DCA4D72">
      <w:pPr>
        <w:pStyle w:val="18"/>
        <w:numPr>
          <w:ilvl w:val="0"/>
          <w:numId w:val="1"/>
        </w:numPr>
        <w:spacing w:after="80"/>
      </w:pPr>
      <w:r>
        <w:t>Business rule: No duplicate Holiday dates within the same facility; no hard-delete of a Holiday with existing audit log entries.</w:t>
      </w:r>
    </w:p>
    <w:p w14:paraId="1C955A4E">
      <w:pPr>
        <w:pStyle w:val="3"/>
        <w:spacing w:before="260" w:after="120"/>
      </w:pPr>
      <w:r>
        <w:t>SHOULD HAVE</w:t>
      </w:r>
    </w:p>
    <w:p w14:paraId="6662B366">
      <w:pPr>
        <w:pStyle w:val="18"/>
        <w:numPr>
          <w:ilvl w:val="0"/>
          <w:numId w:val="1"/>
        </w:numPr>
        <w:spacing w:after="80"/>
      </w:pPr>
      <w:r>
        <w:t>"Holiday" badge/warning on: Staffing schedule (AD-07 audit log), Daily Task List (M2-US-05), Care Plan Reassessment due list (M2-US-03), Incident Detail (M7-US-03).</w:t>
      </w:r>
    </w:p>
    <w:p w14:paraId="4BDB2A1A">
      <w:pPr>
        <w:pStyle w:val="18"/>
        <w:numPr>
          <w:ilvl w:val="0"/>
          <w:numId w:val="1"/>
        </w:numPr>
        <w:spacing w:after="80"/>
      </w:pPr>
      <w:r>
        <w:t>Early low-stock warning before a holiday on AD-16.</w:t>
      </w:r>
    </w:p>
    <w:p w14:paraId="6CD7BA18">
      <w:pPr>
        <w:pStyle w:val="3"/>
        <w:spacing w:before="260" w:after="120"/>
      </w:pPr>
      <w:r>
        <w:t>COULD HAVE</w:t>
      </w:r>
    </w:p>
    <w:p w14:paraId="6C927C8D">
      <w:pPr>
        <w:pStyle w:val="18"/>
        <w:numPr>
          <w:ilvl w:val="0"/>
          <w:numId w:val="1"/>
        </w:numPr>
        <w:spacing w:after="80"/>
      </w:pPr>
      <w:r>
        <w:t>"Upcoming Holiday" widget on the SH-US-01 Dashboard (once this screen is prioritized for development).</w:t>
      </w:r>
    </w:p>
    <w:p w14:paraId="76EFB83E">
      <w:pPr>
        <w:pStyle w:val="18"/>
        <w:numPr>
          <w:ilvl w:val="0"/>
          <w:numId w:val="1"/>
        </w:numPr>
        <w:spacing w:after="80"/>
      </w:pPr>
      <w:r>
        <w:t>Holiday Impact Report / bulk view (if confirmed by an actual operational need).</w:t>
      </w:r>
    </w:p>
    <w:p w14:paraId="1802EBC0">
      <w:pPr>
        <w:pStyle w:val="3"/>
        <w:spacing w:before="260" w:after="120"/>
      </w:pPr>
      <w:r>
        <w:t>NOT NOW / OUT OF SCOPE (see details in Section 5)</w:t>
      </w:r>
    </w:p>
    <w:p w14:paraId="4A7F1F89">
      <w:pPr>
        <w:pStyle w:val="18"/>
        <w:numPr>
          <w:ilvl w:val="0"/>
          <w:numId w:val="1"/>
        </w:numPr>
        <w:spacing w:after="80"/>
      </w:pPr>
      <w:r>
        <w:t>Holiday-aware SLA (automatic legal deadline extension).</w:t>
      </w:r>
    </w:p>
    <w:p w14:paraId="1AEF6C20">
      <w:pPr>
        <w:pStyle w:val="18"/>
        <w:numPr>
          <w:ilvl w:val="0"/>
          <w:numId w:val="1"/>
        </w:numPr>
        <w:spacing w:after="80"/>
      </w:pPr>
      <w:r>
        <w:t>Holiday Minimum Staffing separate from BR-01.</w:t>
      </w:r>
    </w:p>
    <w:p w14:paraId="34811660">
      <w:pPr>
        <w:pStyle w:val="18"/>
        <w:numPr>
          <w:ilvl w:val="0"/>
          <w:numId w:val="1"/>
        </w:numPr>
        <w:spacing w:after="80"/>
      </w:pPr>
      <w:r>
        <w:t>Holiday Admission Readiness workflow (9 new fields on M1-US-04/05).</w:t>
      </w:r>
    </w:p>
    <w:p w14:paraId="7E1A1226">
      <w:pPr>
        <w:pStyle w:val="18"/>
        <w:numPr>
          <w:ilvl w:val="0"/>
          <w:numId w:val="1"/>
        </w:numPr>
        <w:spacing w:after="80"/>
      </w:pPr>
      <w:r>
        <w:t>Any proposal under Module 4 (Staffing/Shift Bourse), Module 5 (Dining/POS), Module 6 (Billing/RCM), Module 8 (Family Portal) — these modules do not exist in the NHMS build.</w:t>
      </w:r>
    </w:p>
    <w:p w14:paraId="723BBEFB">
      <w:pPr>
        <w:pStyle w:val="18"/>
        <w:numPr>
          <w:ilvl w:val="0"/>
          <w:numId w:val="1"/>
        </w:numPr>
        <w:spacing w:after="80"/>
      </w:pPr>
      <w:r>
        <w:t>Holiday Rate Multiplier / Payroll multiplier (AD-06).</w:t>
      </w:r>
    </w:p>
    <w:p w14:paraId="45E5F080">
      <w:pPr>
        <w:pStyle w:val="18"/>
        <w:numPr>
          <w:ilvl w:val="0"/>
          <w:numId w:val="1"/>
        </w:numPr>
        <w:spacing w:after="80"/>
      </w:pPr>
      <w:r>
        <w:t>Full Holiday LOA (Leave of Absence) workflow.</w:t>
      </w:r>
    </w:p>
    <w:p w14:paraId="449CF342">
      <w:pPr>
        <w:pStyle w:val="2"/>
        <w:spacing w:before="320" w:after="160"/>
      </w:pPr>
      <w:r>
        <w:t>4. Open Items — Require Confirmation Before Implementation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
        <w:gridCol w:w="6854"/>
        <w:gridCol w:w="2218"/>
      </w:tblGrid>
      <w:tr w14:paraId="5CAB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8" w:type="dxa"/>
            <w:shd w:val="clear" w:color="auto" w:fill="1F3864"/>
            <w:tcMar>
              <w:top w:w="80" w:type="dxa"/>
              <w:left w:w="100" w:type="dxa"/>
              <w:bottom w:w="80" w:type="dxa"/>
              <w:right w:w="100" w:type="dxa"/>
            </w:tcMar>
            <w:vAlign w:val="center"/>
          </w:tcPr>
          <w:p w14:paraId="04C04684">
            <w:r>
              <w:rPr>
                <w:b/>
                <w:bCs/>
                <w:color w:val="FFFFFF"/>
                <w:sz w:val="18"/>
                <w:szCs w:val="18"/>
              </w:rPr>
              <w:t>ID</w:t>
            </w:r>
          </w:p>
        </w:tc>
        <w:tc>
          <w:tcPr>
            <w:tcW w:w="6854" w:type="dxa"/>
            <w:shd w:val="clear" w:color="auto" w:fill="1F3864"/>
            <w:tcMar>
              <w:top w:w="80" w:type="dxa"/>
              <w:left w:w="100" w:type="dxa"/>
              <w:bottom w:w="80" w:type="dxa"/>
              <w:right w:w="100" w:type="dxa"/>
            </w:tcMar>
            <w:vAlign w:val="center"/>
          </w:tcPr>
          <w:p w14:paraId="5D351ABA">
            <w:r>
              <w:rPr>
                <w:b/>
                <w:bCs/>
                <w:color w:val="FFFFFF"/>
                <w:sz w:val="18"/>
                <w:szCs w:val="18"/>
              </w:rPr>
              <w:t>Description</w:t>
            </w:r>
          </w:p>
        </w:tc>
        <w:tc>
          <w:tcPr>
            <w:tcW w:w="2218" w:type="dxa"/>
            <w:shd w:val="clear" w:color="auto" w:fill="1F3864"/>
            <w:tcMar>
              <w:top w:w="80" w:type="dxa"/>
              <w:left w:w="100" w:type="dxa"/>
              <w:bottom w:w="80" w:type="dxa"/>
              <w:right w:w="100" w:type="dxa"/>
            </w:tcMar>
            <w:vAlign w:val="center"/>
          </w:tcPr>
          <w:p w14:paraId="7E2FDB26">
            <w:r>
              <w:rPr>
                <w:b/>
                <w:bCs/>
                <w:color w:val="FFFFFF"/>
                <w:sz w:val="18"/>
                <w:szCs w:val="18"/>
              </w:rPr>
              <w:t>Who Needs to Confirm</w:t>
            </w:r>
          </w:p>
        </w:tc>
      </w:tr>
      <w:tr w14:paraId="1C71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 w:type="dxa"/>
            <w:shd w:val="clear" w:color="auto" w:fill="FFFFFF"/>
            <w:tcMar>
              <w:top w:w="60" w:type="dxa"/>
              <w:left w:w="100" w:type="dxa"/>
              <w:bottom w:w="60" w:type="dxa"/>
              <w:right w:w="100" w:type="dxa"/>
            </w:tcMar>
            <w:vAlign w:val="top"/>
          </w:tcPr>
          <w:p w14:paraId="431CE506">
            <w:pPr>
              <w:spacing w:after="40"/>
            </w:pPr>
            <w:r>
              <w:rPr>
                <w:sz w:val="18"/>
                <w:szCs w:val="18"/>
              </w:rPr>
              <w:t>OI-01</w:t>
            </w:r>
          </w:p>
        </w:tc>
        <w:tc>
          <w:tcPr>
            <w:tcW w:w="6854" w:type="dxa"/>
            <w:shd w:val="clear" w:color="auto" w:fill="FFFFFF"/>
            <w:tcMar>
              <w:top w:w="60" w:type="dxa"/>
              <w:left w:w="100" w:type="dxa"/>
              <w:bottom w:w="60" w:type="dxa"/>
              <w:right w:w="100" w:type="dxa"/>
            </w:tcMar>
            <w:vAlign w:val="top"/>
          </w:tcPr>
          <w:p w14:paraId="32963E5A">
            <w:pPr>
              <w:spacing w:after="40"/>
            </w:pPr>
            <w:r>
              <w:rPr>
                <w:sz w:val="18"/>
                <w:szCs w:val="18"/>
              </w:rPr>
              <w:t>Is the incident-reporting SLA (24-48h) actually extended by the state agency for holidays under California regulations? If specific legal evidence exists, reconsider decision #3 (Section 1).</w:t>
            </w:r>
          </w:p>
        </w:tc>
        <w:tc>
          <w:tcPr>
            <w:tcW w:w="2218" w:type="dxa"/>
            <w:shd w:val="clear" w:color="auto" w:fill="FFFFFF"/>
            <w:tcMar>
              <w:top w:w="60" w:type="dxa"/>
              <w:left w:w="100" w:type="dxa"/>
              <w:bottom w:w="60" w:type="dxa"/>
              <w:right w:w="100" w:type="dxa"/>
            </w:tcMar>
            <w:vAlign w:val="top"/>
          </w:tcPr>
          <w:p w14:paraId="64F4D8B4">
            <w:pPr>
              <w:spacing w:after="40"/>
            </w:pPr>
            <w:r>
              <w:rPr>
                <w:sz w:val="18"/>
                <w:szCs w:val="18"/>
              </w:rPr>
              <w:t>Product Owner / Legal-Compliance advisor</w:t>
            </w:r>
          </w:p>
        </w:tc>
      </w:tr>
      <w:tr w14:paraId="7054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 w:type="dxa"/>
            <w:shd w:val="clear" w:color="auto" w:fill="F2F2F2"/>
            <w:tcMar>
              <w:top w:w="60" w:type="dxa"/>
              <w:left w:w="100" w:type="dxa"/>
              <w:bottom w:w="60" w:type="dxa"/>
              <w:right w:w="100" w:type="dxa"/>
            </w:tcMar>
            <w:vAlign w:val="top"/>
          </w:tcPr>
          <w:p w14:paraId="65B16FB7">
            <w:pPr>
              <w:spacing w:after="40"/>
            </w:pPr>
            <w:r>
              <w:rPr>
                <w:sz w:val="18"/>
                <w:szCs w:val="18"/>
              </w:rPr>
              <w:t>OI-02</w:t>
            </w:r>
          </w:p>
        </w:tc>
        <w:tc>
          <w:tcPr>
            <w:tcW w:w="6854" w:type="dxa"/>
            <w:shd w:val="clear" w:color="auto" w:fill="F2F2F2"/>
            <w:tcMar>
              <w:top w:w="60" w:type="dxa"/>
              <w:left w:w="100" w:type="dxa"/>
              <w:bottom w:w="60" w:type="dxa"/>
              <w:right w:w="100" w:type="dxa"/>
            </w:tcMar>
            <w:vAlign w:val="top"/>
          </w:tcPr>
          <w:p w14:paraId="63966FC5">
            <w:pPr>
              <w:spacing w:after="40"/>
            </w:pPr>
            <w:r>
              <w:rPr>
                <w:sz w:val="18"/>
                <w:szCs w:val="18"/>
              </w:rPr>
              <w:t>Does Phase 1 need to support multiple states (multi-state), or is it locked to California only?</w:t>
            </w:r>
          </w:p>
        </w:tc>
        <w:tc>
          <w:tcPr>
            <w:tcW w:w="2218" w:type="dxa"/>
            <w:shd w:val="clear" w:color="auto" w:fill="F2F2F2"/>
            <w:tcMar>
              <w:top w:w="60" w:type="dxa"/>
              <w:left w:w="100" w:type="dxa"/>
              <w:bottom w:w="60" w:type="dxa"/>
              <w:right w:w="100" w:type="dxa"/>
            </w:tcMar>
            <w:vAlign w:val="top"/>
          </w:tcPr>
          <w:p w14:paraId="1C2D5AAC">
            <w:pPr>
              <w:spacing w:after="40"/>
            </w:pPr>
            <w:r>
              <w:rPr>
                <w:sz w:val="18"/>
                <w:szCs w:val="18"/>
              </w:rPr>
              <w:t>Product Owner</w:t>
            </w:r>
          </w:p>
        </w:tc>
      </w:tr>
      <w:tr w14:paraId="734F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 w:type="dxa"/>
            <w:shd w:val="clear" w:color="auto" w:fill="FFFFFF"/>
            <w:tcMar>
              <w:top w:w="60" w:type="dxa"/>
              <w:left w:w="100" w:type="dxa"/>
              <w:bottom w:w="60" w:type="dxa"/>
              <w:right w:w="100" w:type="dxa"/>
            </w:tcMar>
            <w:vAlign w:val="top"/>
          </w:tcPr>
          <w:p w14:paraId="06B700CF">
            <w:pPr>
              <w:spacing w:after="40"/>
            </w:pPr>
            <w:r>
              <w:rPr>
                <w:sz w:val="18"/>
                <w:szCs w:val="18"/>
              </w:rPr>
              <w:t>OI-03</w:t>
            </w:r>
          </w:p>
        </w:tc>
        <w:tc>
          <w:tcPr>
            <w:tcW w:w="6854" w:type="dxa"/>
            <w:shd w:val="clear" w:color="auto" w:fill="FFFFFF"/>
            <w:tcMar>
              <w:top w:w="60" w:type="dxa"/>
              <w:left w:w="100" w:type="dxa"/>
              <w:bottom w:w="60" w:type="dxa"/>
              <w:right w:w="100" w:type="dxa"/>
            </w:tcMar>
            <w:vAlign w:val="top"/>
          </w:tcPr>
          <w:p w14:paraId="4B783CAA">
            <w:pPr>
              <w:spacing w:after="40"/>
            </w:pPr>
            <w:r>
              <w:rPr>
                <w:sz w:val="18"/>
                <w:szCs w:val="18"/>
              </w:rPr>
              <w:t>Should the "Holiday Today" alert type on the Notification Center (SH-US-02) be mandatory for Phase 1, or left in the backlog?</w:t>
            </w:r>
          </w:p>
        </w:tc>
        <w:tc>
          <w:tcPr>
            <w:tcW w:w="2218" w:type="dxa"/>
            <w:shd w:val="clear" w:color="auto" w:fill="FFFFFF"/>
            <w:tcMar>
              <w:top w:w="60" w:type="dxa"/>
              <w:left w:w="100" w:type="dxa"/>
              <w:bottom w:w="60" w:type="dxa"/>
              <w:right w:w="100" w:type="dxa"/>
            </w:tcMar>
            <w:vAlign w:val="top"/>
          </w:tcPr>
          <w:p w14:paraId="606ACD1A">
            <w:pPr>
              <w:spacing w:after="40"/>
            </w:pPr>
            <w:r>
              <w:rPr>
                <w:sz w:val="18"/>
                <w:szCs w:val="18"/>
              </w:rPr>
              <w:t>Product Owner</w:t>
            </w:r>
          </w:p>
        </w:tc>
      </w:tr>
      <w:tr w14:paraId="2D37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 w:type="dxa"/>
            <w:shd w:val="clear" w:color="auto" w:fill="F2F2F2"/>
            <w:tcMar>
              <w:top w:w="60" w:type="dxa"/>
              <w:left w:w="100" w:type="dxa"/>
              <w:bottom w:w="60" w:type="dxa"/>
              <w:right w:w="100" w:type="dxa"/>
            </w:tcMar>
            <w:vAlign w:val="top"/>
          </w:tcPr>
          <w:p w14:paraId="2DB7B309">
            <w:pPr>
              <w:spacing w:after="40"/>
            </w:pPr>
            <w:r>
              <w:rPr>
                <w:sz w:val="18"/>
                <w:szCs w:val="18"/>
              </w:rPr>
              <w:t>OI-04</w:t>
            </w:r>
          </w:p>
        </w:tc>
        <w:tc>
          <w:tcPr>
            <w:tcW w:w="6854" w:type="dxa"/>
            <w:shd w:val="clear" w:color="auto" w:fill="F2F2F2"/>
            <w:tcMar>
              <w:top w:w="60" w:type="dxa"/>
              <w:left w:w="100" w:type="dxa"/>
              <w:bottom w:w="60" w:type="dxa"/>
              <w:right w:w="100" w:type="dxa"/>
            </w:tcMar>
            <w:vAlign w:val="top"/>
          </w:tcPr>
          <w:p w14:paraId="5A088163">
            <w:pPr>
              <w:spacing w:after="40"/>
            </w:pPr>
            <w:r>
              <w:rPr>
                <w:sz w:val="18"/>
                <w:szCs w:val="18"/>
              </w:rPr>
              <w:t>Does Holiday Admission Readiness (Section 1, item #6) have enough business value to bring into Phase 2 early, or should it wait for real operational signal?</w:t>
            </w:r>
          </w:p>
        </w:tc>
        <w:tc>
          <w:tcPr>
            <w:tcW w:w="2218" w:type="dxa"/>
            <w:shd w:val="clear" w:color="auto" w:fill="F2F2F2"/>
            <w:tcMar>
              <w:top w:w="60" w:type="dxa"/>
              <w:left w:w="100" w:type="dxa"/>
              <w:bottom w:w="60" w:type="dxa"/>
              <w:right w:w="100" w:type="dxa"/>
            </w:tcMar>
            <w:vAlign w:val="top"/>
          </w:tcPr>
          <w:p w14:paraId="5DAE3328">
            <w:pPr>
              <w:spacing w:after="40"/>
            </w:pPr>
            <w:r>
              <w:rPr>
                <w:sz w:val="18"/>
                <w:szCs w:val="18"/>
              </w:rPr>
              <w:t>DON / Admission Staff</w:t>
            </w:r>
          </w:p>
        </w:tc>
      </w:tr>
    </w:tbl>
    <w:p w14:paraId="4AA190D4">
      <w:pPr>
        <w:spacing w:after="200"/>
      </w:pPr>
    </w:p>
    <w:p w14:paraId="39AFAB24">
      <w:pPr>
        <w:pStyle w:val="2"/>
        <w:spacing w:before="320" w:after="160"/>
      </w:pPr>
      <w:r>
        <w:t>5. Out of Scope for This CR (Long-Term Roadmap Backlog)</w:t>
      </w:r>
    </w:p>
    <w:p w14:paraId="74F7D07E">
      <w:pPr>
        <w:spacing w:after="140"/>
      </w:pPr>
      <w:r>
        <w:rPr>
          <w:b w:val="0"/>
          <w:bCs w:val="0"/>
          <w:i w:val="0"/>
          <w:iCs w:val="0"/>
        </w:rPr>
        <w:t>The following ideas have real business value but cannot be implemented within the "Holiday Calendar Awareness" CR because they belong to modules not yet built, or exceed the scope of "calendar awareness" into "holiday operations":</w:t>
      </w:r>
    </w:p>
    <w:p w14:paraId="7F0EA7B3">
      <w:pPr>
        <w:pStyle w:val="18"/>
        <w:numPr>
          <w:ilvl w:val="0"/>
          <w:numId w:val="1"/>
        </w:numPr>
        <w:spacing w:after="80"/>
      </w:pPr>
      <w:r>
        <w:t>Module 4 (Staff Scheduling/Shift Bourse): Holiday wage badge (1.5x/2x pay), predictive staffing alert.</w:t>
      </w:r>
    </w:p>
    <w:p w14:paraId="71C9F642">
      <w:pPr>
        <w:pStyle w:val="18"/>
        <w:numPr>
          <w:ilvl w:val="0"/>
          <w:numId w:val="1"/>
        </w:numPr>
        <w:spacing w:after="80"/>
      </w:pPr>
      <w:r>
        <w:t>Module 5 (Dining/POS): Holiday Feast Menu, Guest/Family meal billing add-on.</w:t>
      </w:r>
    </w:p>
    <w:p w14:paraId="5D0C4040">
      <w:pPr>
        <w:pStyle w:val="18"/>
        <w:numPr>
          <w:ilvl w:val="0"/>
          <w:numId w:val="1"/>
        </w:numPr>
        <w:spacing w:after="80"/>
      </w:pPr>
      <w:r>
        <w:t>Module 6 (Billing/RCM): Clearinghouse Holiday Schedule alert, Holiday LOA Bed-Hold Adjustment, Holiday Rate Multiplier on AD-06.</w:t>
      </w:r>
    </w:p>
    <w:p w14:paraId="103E7975">
      <w:pPr>
        <w:pStyle w:val="18"/>
        <w:numPr>
          <w:ilvl w:val="0"/>
          <w:numId w:val="1"/>
        </w:numPr>
        <w:spacing w:after="80"/>
      </w:pPr>
      <w:r>
        <w:t>Module 8 (Family Portal): Holiday &amp; Events Hub, RSVP form, Holiday LOA Request form.</w:t>
      </w:r>
    </w:p>
    <w:p w14:paraId="381A1EBB">
      <w:pPr>
        <w:pStyle w:val="18"/>
        <w:numPr>
          <w:ilvl w:val="0"/>
          <w:numId w:val="1"/>
        </w:numPr>
        <w:spacing w:after="80"/>
      </w:pPr>
      <w:r>
        <w:t>Full Holiday LOA (Leave of Absence) workflow: "On Holiday LOA" filter on M1-US-01, departure/return widget on M1-US-02, "Release for Holiday LOA" on eMAR (M3, not yet built).</w:t>
      </w:r>
    </w:p>
    <w:p w14:paraId="48433D8A">
      <w:pPr>
        <w:pStyle w:val="18"/>
        <w:numPr>
          <w:ilvl w:val="0"/>
          <w:numId w:val="1"/>
        </w:numPr>
        <w:spacing w:after="80"/>
      </w:pPr>
      <w:r>
        <w:t>Detailed Holiday Admission Readiness workflow (9 fields, DON approval) — see OI-04.</w:t>
      </w:r>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218D9">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ADBCF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8ADBCF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ACB2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1F3864" w:sz="6" w:space="4"/>
      </w:pBdr>
      <w:spacing w:before="320" w:after="160"/>
    </w:pPr>
    <w:rPr>
      <w:rFonts w:ascii="Calibri" w:hAnsi="Calibri" w:eastAsia="Calibri" w:cs="Calibri"/>
      <w:b/>
      <w:bCs/>
      <w:color w:val="1F3864"/>
      <w:sz w:val="28"/>
      <w:szCs w:val="28"/>
    </w:rPr>
  </w:style>
  <w:style w:type="paragraph" w:styleId="3">
    <w:name w:val="heading 2"/>
    <w:next w:val="1"/>
    <w:qFormat/>
    <w:uiPriority w:val="0"/>
    <w:pPr>
      <w:spacing w:before="260" w:after="120"/>
    </w:pPr>
    <w:rPr>
      <w:rFonts w:ascii="Calibri" w:hAnsi="Calibri" w:eastAsia="Calibri" w:cs="Calibri"/>
      <w:b/>
      <w:bCs/>
      <w:color w:val="2E5395"/>
      <w:sz w:val="24"/>
      <w:szCs w:val="24"/>
    </w:rPr>
  </w:style>
  <w:style w:type="paragraph" w:styleId="4">
    <w:name w:val="heading 3"/>
    <w:next w:val="1"/>
    <w:qFormat/>
    <w:uiPriority w:val="0"/>
    <w:pPr>
      <w:spacing w:before="200" w:after="100"/>
    </w:pPr>
    <w:rPr>
      <w:rFonts w:ascii="Calibri" w:hAnsi="Calibri" w:eastAsia="Calibri" w:cs="Calibri"/>
      <w:b/>
      <w:bCs/>
      <w:i/>
      <w:iCs/>
      <w:color w:val="333333"/>
      <w:sz w:val="21"/>
      <w:szCs w:val="21"/>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1"/>
      <w:szCs w:val="21"/>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1152</Words>
  <Characters>6249</Characters>
  <TotalTime>0</TotalTime>
  <ScaleCrop>false</ScaleCrop>
  <LinksUpToDate>false</LinksUpToDate>
  <CharactersWithSpaces>7316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2026-07-13T05:18:00Z</dcterms:created>
  <dc:creator>Un-named</dc:creator>
  <cp:lastModifiedBy>UnkaiPC</cp:lastModifiedBy>
  <dcterms:modified xsi:type="dcterms:W3CDTF">2026-07-13T05:20:14Z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35F9774E109F41EBA6B7BB24B44B9B27_12</vt:lpwstr>
  </property>
</Properties>
</file>