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f6d2df5aaea67dcd3e098f83b11453c64d458e"/>
      <w:r>
        <w:t xml:space="preserve">Review Report — NHMS_SRS_Template_v1.0_EN_Thien.docx</w:t>
      </w:r>
      <w:bookmarkEnd w:id="20"/>
    </w:p>
    <w:p>
      <w:pPr>
        <w:pStyle w:val="FirstParagraph"/>
      </w:pPr>
      <w:r>
        <w:rPr>
          <w:b/>
        </w:rPr>
        <w:t xml:space="preserve">Phạm vi thực tế:</w:t>
      </w:r>
      <w:r>
        <w:t xml:space="preserve"> </w:t>
      </w:r>
      <w:r>
        <w:t xml:space="preserve">Section 3.3 MODULE M1 — Intake &amp; EHR, 9 screens do Huynh Ngoc Thien phụ trách theo Screen Inventory (§3.0): M1-US-01 đến M1-US-09.</w:t>
      </w:r>
    </w:p>
    <w:p>
      <w:pPr>
        <w:pStyle w:val="Heading2"/>
      </w:pPr>
      <w:bookmarkStart w:id="21" w:name="tóm-tắt-nhanh"/>
      <w:r>
        <w:t xml:space="preserve">Tóm tắt nhanh</w:t>
      </w:r>
      <w:bookmarkEnd w:id="2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Kết quả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M1-US-01 Resident List</w:t>
            </w:r>
          </w:p>
        </w:tc>
        <w:tc>
          <w:p>
            <w:pPr>
              <w:pStyle w:val="Compact"/>
              <w:jc w:val="left"/>
            </w:pPr>
            <w:r>
              <w:t xml:space="preserve">Huynh Ngoc Thien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M1-US-02 Resident Profile Detail</w:t>
            </w:r>
          </w:p>
        </w:tc>
        <w:tc>
          <w:p>
            <w:pPr>
              <w:pStyle w:val="Compact"/>
              <w:jc w:val="left"/>
            </w:pPr>
            <w:r>
              <w:t xml:space="preserve">Huynh Ngoc Thien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M1-US-03 Create/Edit Resident</w:t>
            </w:r>
          </w:p>
        </w:tc>
        <w:tc>
          <w:p>
            <w:pPr>
              <w:pStyle w:val="Compact"/>
              <w:jc w:val="left"/>
            </w:pPr>
            <w:r>
              <w:t xml:space="preserve">Huynh Ngoc Thien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M1-US-04 Pre-admission Screening</w:t>
            </w:r>
          </w:p>
        </w:tc>
        <w:tc>
          <w:p>
            <w:pPr>
              <w:pStyle w:val="Compact"/>
              <w:jc w:val="left"/>
            </w:pPr>
            <w:r>
              <w:t xml:space="preserve">Huynh Ngoc Thien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M1-US-05 Admission Form</w:t>
            </w:r>
          </w:p>
        </w:tc>
        <w:tc>
          <w:p>
            <w:pPr>
              <w:pStyle w:val="Compact"/>
              <w:jc w:val="left"/>
            </w:pPr>
            <w:r>
              <w:t xml:space="preserve">Huynh Ngoc Thien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M1-US-06 Initial Assessment</w:t>
            </w:r>
          </w:p>
        </w:tc>
        <w:tc>
          <w:p>
            <w:pPr>
              <w:pStyle w:val="Compact"/>
              <w:jc w:val="left"/>
            </w:pPr>
            <w:r>
              <w:t xml:space="preserve">Huynh Ngoc Thien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M1-US-07 Assessment History</w:t>
            </w:r>
          </w:p>
        </w:tc>
        <w:tc>
          <w:p>
            <w:pPr>
              <w:pStyle w:val="Compact"/>
              <w:jc w:val="left"/>
            </w:pPr>
            <w:r>
              <w:t xml:space="preserve">Huynh Ngoc Thien</w:t>
            </w:r>
          </w:p>
        </w:tc>
        <w:tc>
          <w:p>
            <w:pPr>
              <w:pStyle w:val="Compact"/>
              <w:jc w:val="left"/>
            </w:pPr>
            <w:r>
              <w:t xml:space="preserve">PASS (có 1 điểm mơ hồ)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M1-US-08 LOC 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Huynh Ngoc Thien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M1-US-09 LOC History</w:t>
            </w:r>
          </w:p>
        </w:tc>
        <w:tc>
          <w:p>
            <w:pPr>
              <w:pStyle w:val="Compact"/>
              <w:jc w:val="left"/>
            </w:pPr>
            <w:r>
              <w:t xml:space="preserve">Huynh Ngoc Thien</w:t>
            </w:r>
          </w:p>
        </w:tc>
        <w:tc>
          <w:p>
            <w:pPr>
              <w:pStyle w:val="Compact"/>
              <w:jc w:val="left"/>
            </w:pPr>
            <w:r>
              <w:t xml:space="preserve">PARTIAL — thiếu cột Daily Rate/End Date so với AC đã duyệt</w:t>
            </w:r>
          </w:p>
        </w:tc>
      </w:tr>
    </w:tbl>
    <w:p>
      <w:pPr>
        <w:pStyle w:val="BodyText"/>
      </w:pPr>
      <w:r>
        <w:rPr>
          <w:b/>
        </w:rPr>
        <w:t xml:space="preserve">Verdict tổng thể: PASS.</w:t>
      </w:r>
      <w:r>
        <w:t xml:space="preserve"> </w:t>
      </w:r>
      <w:r>
        <w:t xml:space="preserve">Đây là file chất lượng tốt nhất trong 3 file đã review (Bac, Loc, Thien) tính đến hiện tại: đủ 9/9 screens, không bị lỗi copy-paste/thiếu nội dung như file Loc, và khớp rất sát với US/AC đã duyệt (</w:t>
      </w:r>
      <w:r>
        <w:rPr>
          <w:rStyle w:val="VerbatimChar"/>
        </w:rPr>
        <w:t xml:space="preserve">us-ac-sc017-025.docx</w:t>
      </w:r>
      <w:r>
        <w:t xml:space="preserve">). Vẫn có vài điểm cần chỉnh trước khi coi là hoàn thiện 100%.</w:t>
      </w:r>
    </w:p>
    <w:p>
      <w:pPr>
        <w:pStyle w:val="Heading2"/>
      </w:pPr>
      <w:bookmarkStart w:id="22" w:name="điểm-mạnh-nổi-bật"/>
      <w:r>
        <w:t xml:space="preserve">Điểm mạnh nổi bật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Không có lỗi thiếu nội dung</w:t>
      </w:r>
      <w:r>
        <w:t xml:space="preserve"> </w:t>
      </w:r>
      <w:r>
        <w:t xml:space="preserve">— cả 9/9 screens đều viết đầy đủ 4 block (Function Information/Screen Content/Actions/Error Messages), không có hiện tượng copy-paste sai như file của Loc.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Cross-reference liên-module rất chính xác</w:t>
      </w:r>
      <w:r>
        <w:t xml:space="preserve"> </w:t>
      </w:r>
      <w:r>
        <w:t xml:space="preserve">— đây là điểm khác biệt lớn nhất so với 2 file trước: M1-US-08 (Confirm LOC) nói rõ</w:t>
      </w:r>
      <w:r>
        <w:t xml:space="preserve"> </w:t>
      </w:r>
      <w:r>
        <w:t xml:space="preserve">“</w:t>
      </w:r>
      <w:r>
        <w:t xml:space="preserve">clears Care Plan creation gate (LC-G4)</w:t>
      </w:r>
      <w:r>
        <w:t xml:space="preserve">”</w:t>
      </w:r>
      <w:r>
        <w:t xml:space="preserve"> </w:t>
      </w:r>
      <w:r>
        <w:t xml:space="preserve">và khớp hoàn toàn với Precondition của LOC Gate (M2-US-02b) trong file của Van (</w:t>
      </w:r>
      <w:r>
        <w:t xml:space="preserve">“</w:t>
      </w:r>
      <w:r>
        <w:t xml:space="preserve">Resident’s LOC classification status is not Confirmed</w:t>
      </w:r>
      <w:r>
        <w:t xml:space="preserve">”</w:t>
      </w:r>
      <w:r>
        <w:t xml:space="preserve"> </w:t>
      </w:r>
      <w:r>
        <w:t xml:space="preserve">-&gt; block); M1-US-08 cũng đọc đúng rate từ AD-06 (LOC Rate Table, file Loc) và ví dụ số liệu $248/day khớp với ví dụ trong AD-06 của Loc — cho thấy Thien thực sự đối chiếu chéo với các module khác khi viết, không viết cô lập.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Mô hình LOC 4-tier được định nghĩa dứt điểm, có số liệu cụ thể</w:t>
      </w:r>
      <w:r>
        <w:t xml:space="preserve">: Level 1 (0-8), Level 2 (9-16), Level 3 (17-24), Level 4 (25-32) — đây là bằng chứng độc lập xác nhận mô hình 4-tier là đúng, giúp giải quyết nghi vấn</w:t>
      </w:r>
      <w:r>
        <w:t xml:space="preserve"> </w:t>
      </w:r>
      <w:r>
        <w:t xml:space="preserve">“</w:t>
      </w:r>
      <w:r>
        <w:t xml:space="preserve">4 hay 5 tier</w:t>
      </w:r>
      <w:r>
        <w:t xml:space="preserve">”</w:t>
      </w:r>
      <w:r>
        <w:t xml:space="preserve"> </w:t>
      </w:r>
      <w:r>
        <w:t xml:space="preserve">đã nêu trong report review file Loc (US/AC của AD-06 ghi</w:t>
      </w:r>
      <w:r>
        <w:t xml:space="preserve"> </w:t>
      </w:r>
      <w:r>
        <w:t xml:space="preserve">“</w:t>
      </w:r>
      <w:r>
        <w:t xml:space="preserve">Tier 1 to Tier 5</w:t>
      </w:r>
      <w:r>
        <w:t xml:space="preserve">”</w:t>
      </w:r>
      <w:r>
        <w:t xml:space="preserve"> </w:t>
      </w:r>
      <w:r>
        <w:t xml:space="preserve">— sai, nên sửa theo 4-tier).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Khớp rất sát với US/AC đã duyệt</w:t>
      </w:r>
      <w:r>
        <w:t xml:space="preserve"> </w:t>
      </w:r>
      <w:r>
        <w:t xml:space="preserve">(</w:t>
      </w:r>
      <w:r>
        <w:rPr>
          <w:rStyle w:val="VerbatimChar"/>
        </w:rPr>
        <w:t xml:space="preserve">us-ac-sc017-025.docx</w:t>
      </w:r>
      <w:r>
        <w:t xml:space="preserve">) trên cả 9 screens — từ RBAC ẩn nút</w:t>
      </w:r>
      <w:r>
        <w:t xml:space="preserve"> </w:t>
      </w:r>
      <w:r>
        <w:t xml:space="preserve">“</w:t>
      </w:r>
      <w:r>
        <w:t xml:space="preserve">+ Add New Resident</w:t>
      </w:r>
      <w:r>
        <w:t xml:space="preserve">”</w:t>
      </w:r>
      <w:r>
        <w:t xml:space="preserve"> </w:t>
      </w:r>
      <w:r>
        <w:t xml:space="preserve">(M1-US-01), badge DNR đỏ (M1-US-02), toggle POA bắt buộc field (M1-US-03), banner Pass/Flag BR-06 (M1-US-04), disable nút Confirm Admission khi thiếu consent (M1-US-05), ADL Total real-time + validate vitals (M1-US-06), đến audit note</w:t>
      </w:r>
      <w:r>
        <w:t xml:space="preserve"> </w:t>
      </w:r>
      <w:r>
        <w:t xml:space="preserve">“</w:t>
      </w:r>
      <w:r>
        <w:t xml:space="preserve">Overridden by [DON] at [timestamp]</w:t>
      </w:r>
      <w:r>
        <w:t xml:space="preserve">”</w:t>
      </w:r>
      <w:r>
        <w:t xml:space="preserve"> </w:t>
      </w:r>
      <w:r>
        <w:t xml:space="preserve">(M1-US-08) và toast lỗi export không crash app (M1-US-09).</w:t>
      </w:r>
    </w:p>
    <w:p>
      <w:pPr>
        <w:pStyle w:val="Heading2"/>
      </w:pPr>
      <w:bookmarkStart w:id="23" w:name="vấn-đề-cần-chỉnh"/>
      <w:r>
        <w:t xml:space="preserve">Vấn đề cần chỉnh</w:t>
      </w:r>
      <w:bookmarkEnd w:id="23"/>
    </w:p>
    <w:p>
      <w:pPr>
        <w:pStyle w:val="Heading3"/>
      </w:pPr>
      <w:bookmarkStart w:id="24" w:name="X87a5c460bf0be55520bb97779c7f87d4b81a8ce"/>
      <w:r>
        <w:t xml:space="preserve">1. [Ưu tiên trung] M1-US-09 LOC History thiếu cột Daily Rate và End Date so với AC đã duyệt</w:t>
      </w:r>
      <w:bookmarkEnd w:id="24"/>
    </w:p>
    <w:p>
      <w:pPr>
        <w:pStyle w:val="FirstParagraph"/>
      </w:pPr>
      <w:r>
        <w:t xml:space="preserve">AC (</w:t>
      </w:r>
      <w:r>
        <w:rPr>
          <w:rStyle w:val="VerbatimChar"/>
        </w:rPr>
        <w:t xml:space="preserve">us-ac-sc017-025.docx</w:t>
      </w:r>
      <w:r>
        <w:t xml:space="preserve"> </w:t>
      </w:r>
      <w:r>
        <w:t xml:space="preserve">§5.9) yêu cầu:</w:t>
      </w:r>
      <w:r>
        <w:t xml:space="preserve"> </w:t>
      </w:r>
      <w:r>
        <w:t xml:space="preserve">“</w:t>
      </w:r>
      <w:r>
        <w:rPr>
          <w:i/>
        </w:rPr>
        <w:t xml:space="preserve">a table of historical LOC levels including Start Date, End Date, Daily Rate, and the user who authorized it</w:t>
      </w:r>
      <w:r>
        <w:t xml:space="preserve">”</w:t>
      </w:r>
      <w:r>
        <w:t xml:space="preserve">. Bảng LOC History Table trong SRS chỉ có cột: Date/Time, Action badge, Previous Tier, New Tier, Actor, Note/Reason —</w:t>
      </w:r>
      <w:r>
        <w:t xml:space="preserve"> </w:t>
      </w:r>
      <w:r>
        <w:rPr>
          <w:b/>
        </w:rPr>
        <w:t xml:space="preserve">không có Daily Rate, không có End Date</w:t>
      </w:r>
      <w:r>
        <w:t xml:space="preserve"> </w:t>
      </w:r>
      <w:r>
        <w:t xml:space="preserve">(khoảng thời gian rate đó có hiệu lực). Vì đây là screen phục vụ audit billing/compliance, thiếu 2 cột này khiến DON/Billing Admin không thể tự tra ngược</w:t>
      </w:r>
      <w:r>
        <w:t xml:space="preserve"> </w:t>
      </w:r>
      <w:r>
        <w:t xml:space="preserve">“</w:t>
      </w:r>
      <w:r>
        <w:t xml:space="preserve">khoảng thời gian này áp dụng mức giá bao nhiêu</w:t>
      </w:r>
      <w:r>
        <w:t xml:space="preserve">”</w:t>
      </w:r>
      <w:r>
        <w:t xml:space="preserve"> </w:t>
      </w:r>
      <w:r>
        <w:t xml:space="preserve">trực tiếp trên chính screen — phải nhảy sang AD-06 mới suy ra được, không đúng mục đích ban đầu của screen.</w:t>
      </w:r>
    </w:p>
    <w:p>
      <w:pPr>
        <w:pStyle w:val="Heading3"/>
      </w:pPr>
      <w:bookmarkStart w:id="25" w:name="X950c3b0f943be5cb24d72155f8e7cced8fb573a"/>
      <w:r>
        <w:t xml:space="preserve">2. [Ưu tiên trung] Cách viết Actions dùng tên nhân vật cụ thể xuyên suốt — lệch convention chung của project</w:t>
      </w:r>
      <w:bookmarkEnd w:id="25"/>
    </w:p>
    <w:p>
      <w:pPr>
        <w:pStyle w:val="FirstParagraph"/>
      </w:pPr>
      <w:r>
        <w:t xml:space="preserve">Toàn bộ 9 screens đều viết Main/Alternate Flow với tên riêng cụ thể lặp lại nhiều lần:</w:t>
      </w:r>
      <w:r>
        <w:t xml:space="preserve"> </w:t>
      </w:r>
      <w:r>
        <w:t xml:space="preserve">“</w:t>
      </w:r>
      <w:r>
        <w:t xml:space="preserve">Robert Hayes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Denise Carter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Anna Lee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Elena Ramos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Dr. Alan Cho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Diane Ramos</w:t>
      </w:r>
      <w:r>
        <w:t xml:space="preserve">”</w:t>
      </w:r>
      <w:r>
        <w:t xml:space="preserve"> </w:t>
      </w:r>
      <w:r>
        <w:t xml:space="preserve">— ví dụ:</w:t>
      </w:r>
      <w:r>
        <w:t xml:space="preserve"> </w:t>
      </w:r>
      <w:r>
        <w:t xml:space="preserve">“</w:t>
      </w:r>
      <w:r>
        <w:rPr>
          <w:i/>
        </w:rPr>
        <w:t xml:space="preserve">DON Denise Carter accesses LOC Classification screen for Robert Hayes…</w:t>
      </w:r>
      <w:r>
        <w:t xml:space="preserve">”</w:t>
      </w:r>
      <w:r>
        <w:t xml:space="preserve">. Trong khi đó file của Bac và Van (đã review trước) đều dùng ngôn ngữ vai trò chung (</w:t>
      </w:r>
      <w:r>
        <w:t xml:space="preserve">“</w:t>
      </w:r>
      <w:r>
        <w:t xml:space="preserve">the actor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the Nurse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the DON</w:t>
      </w:r>
      <w:r>
        <w:t xml:space="preserve">”</w:t>
      </w:r>
      <w:r>
        <w:t xml:space="preserve">) cho Main/Alternate Flow, chỉ dùng dữ liệu ví dụ cụ thể (nếu có) ở mức phụ. Điều 6 trong checklist §0 của chính template này ghi rõ:</w:t>
      </w:r>
      <w:r>
        <w:t xml:space="preserve"> </w:t>
      </w:r>
      <w:r>
        <w:t xml:space="preserve">“</w:t>
      </w:r>
      <w:r>
        <w:rPr>
          <w:i/>
        </w:rPr>
        <w:t xml:space="preserve">Do not keep the sample data from the worked example… every screen has its own business rules</w:t>
      </w:r>
      <w:r>
        <w:t xml:space="preserve">”</w:t>
      </w:r>
      <w:r>
        <w:t xml:space="preserve"> </w:t>
      </w:r>
      <w:r>
        <w:t xml:space="preserve">— cách viết của Thien đọc giống một tập test-case cụ thể hơn là một đặc tả tổng quát, vi phạm nhẹ nguyên tắc</w:t>
      </w:r>
      <w:r>
        <w:t xml:space="preserve"> </w:t>
      </w:r>
      <w:r>
        <w:t xml:space="preserve">“</w:t>
      </w:r>
      <w:r>
        <w:t xml:space="preserve">1 project = 1 convention</w:t>
      </w:r>
      <w:r>
        <w:t xml:space="preserve">”</w:t>
      </w:r>
      <w:r>
        <w:t xml:space="preserve"> </w:t>
      </w:r>
      <w:r>
        <w:t xml:space="preserve">đã xác nhận giữa Bac/Van. Không phải lỗi sai nội dung, nhưng nên đổi lại thành ngôn ngữ vai trò chung, giữ tên riêng (nếu muốn) chỉ như ví dụ minh hoạ trong ngoặc.</w:t>
      </w:r>
    </w:p>
    <w:p>
      <w:pPr>
        <w:pStyle w:val="Heading3"/>
      </w:pPr>
      <w:bookmarkStart w:id="26" w:name="X97dbdb63c2858227488b52c1d580ccbf1142367"/>
      <w:r>
        <w:t xml:space="preserve">3. [Ưu tiên thấp] Nhãn</w:t>
      </w:r>
      <w:r>
        <w:t xml:space="preserve"> </w:t>
      </w:r>
      <w:r>
        <w:t xml:space="preserve">“</w:t>
      </w:r>
      <w:r>
        <w:t xml:space="preserve">Alternate Flow</w:t>
      </w:r>
      <w:r>
        <w:t xml:space="preserve">”</w:t>
      </w:r>
      <w:r>
        <w:t xml:space="preserve"> </w:t>
      </w:r>
      <w:r>
        <w:t xml:space="preserve">dùng chung cho cả lỗi/exception, không tách riêng như Bac</w:t>
      </w:r>
      <w:bookmarkEnd w:id="26"/>
    </w:p>
    <w:p>
      <w:pPr>
        <w:pStyle w:val="FirstParagraph"/>
      </w:pPr>
      <w:r>
        <w:t xml:space="preserve">Ví dụ M1-US-06 có</w:t>
      </w:r>
      <w:r>
        <w:t xml:space="preserve"> </w:t>
      </w:r>
      <w:r>
        <w:t xml:space="preserve">“</w:t>
      </w:r>
      <w:r>
        <w:rPr>
          <w:i/>
        </w:rPr>
        <w:t xml:space="preserve">Alternate Flow: Invalid vitals format or out-of-range value entered</w:t>
      </w:r>
      <w:r>
        <w:t xml:space="preserve">”</w:t>
      </w:r>
      <w:r>
        <w:t xml:space="preserve"> </w:t>
      </w:r>
      <w:r>
        <w:t xml:space="preserve">— đây đúng ra là một</w:t>
      </w:r>
      <w:r>
        <w:t xml:space="preserve"> </w:t>
      </w:r>
      <w:r>
        <w:rPr>
          <w:b/>
        </w:rPr>
        <w:t xml:space="preserve">Exception Flow</w:t>
      </w:r>
      <w:r>
        <w:t xml:space="preserve"> </w:t>
      </w:r>
      <w:r>
        <w:t xml:space="preserve">theo cách phân loại của file Bac (Alternate Flow = nhánh nghiệp vụ hợp lệ khác; Exception Flow = lỗi/hệ thống fail). Nên đổi tên các nhánh lỗi này thành</w:t>
      </w:r>
      <w:r>
        <w:t xml:space="preserve"> </w:t>
      </w:r>
      <w:r>
        <w:t xml:space="preserve">“</w:t>
      </w:r>
      <w:r>
        <w:t xml:space="preserve">Exception Flow</w:t>
      </w:r>
      <w:r>
        <w:t xml:space="preserve">”</w:t>
      </w:r>
      <w:r>
        <w:t xml:space="preserve"> </w:t>
      </w:r>
      <w:r>
        <w:t xml:space="preserve">để đồng bộ thuật ngữ với phần còn lại của SRS.</w:t>
      </w:r>
    </w:p>
    <w:p>
      <w:pPr>
        <w:pStyle w:val="Heading3"/>
      </w:pPr>
      <w:bookmarkStart w:id="27" w:name="X35cf9b0e52d1283147a561a686dc5500d25f563"/>
      <w:r>
        <w:t xml:space="preserve">4. [Ưu tiên thấp] Mơ hồ giữa M1-US-06 và M2-US-07 khi launch reassessment</w:t>
      </w:r>
      <w:bookmarkEnd w:id="27"/>
    </w:p>
    <w:p>
      <w:pPr>
        <w:pStyle w:val="FirstParagraph"/>
      </w:pPr>
      <w:r>
        <w:t xml:space="preserve">M1-US-07 (Assessment History) ghi post-condition:</w:t>
      </w:r>
      <w:r>
        <w:t xml:space="preserve"> </w:t>
      </w:r>
      <w:r>
        <w:t xml:space="preserve">“</w:t>
      </w:r>
      <w:r>
        <w:rPr>
          <w:i/>
        </w:rPr>
        <w:t xml:space="preserve">+ New initiates a fresh Reassessment form (M2-US-07 / M1-US-06)</w:t>
      </w:r>
      <w:r>
        <w:t xml:space="preserve">”</w:t>
      </w:r>
      <w:r>
        <w:t xml:space="preserve"> </w:t>
      </w:r>
      <w:r>
        <w:t xml:space="preserve">— dùng dấu</w:t>
      </w:r>
      <w:r>
        <w:t xml:space="preserve"> </w:t>
      </w:r>
      <w:r>
        <w:t xml:space="preserve">“</w:t>
      </w:r>
      <w:r>
        <w:t xml:space="preserve">/</w:t>
      </w:r>
      <w:r>
        <w:t xml:space="preserve">”</w:t>
      </w:r>
      <w:r>
        <w:t xml:space="preserve"> </w:t>
      </w:r>
      <w:r>
        <w:t xml:space="preserve">giữa 2 Screen ID khác nhau, không rõ đường vào thực tế là gì. Đây liên quan trực tiếp đến lỗ hổng đã phát hiện khi review file của Bac: M2-US-07 (Reassessment, do Bac viết) không có Action nào mô tả việc hoàn tất reassessment. Khi ghép 2 phát hiện lại: rất có thể M2-US-07 là màn hình worklist/entry-point, còn M1-US-06 là form thực hiện — nhưng chưa có tài liệu nào nói rõ quan hệ 2 chiều này. Nên xử lý gộp: 1 buổi làm việc giữa Bac và Thien để chốt lại chuỗi Reassessment end-to-end (M2-US-07 mở gì -&gt; M1-US-06 làm gì -&gt; kết quả quay lại đâu), rồi cả 2 file cùng cập nhật.</w:t>
      </w:r>
    </w:p>
    <w:p>
      <w:pPr>
        <w:pStyle w:val="Heading3"/>
      </w:pPr>
      <w:bookmarkStart w:id="28" w:name="Xfdcc29179b8668ce79470d4d3c4bd3b5bc82727"/>
      <w:r>
        <w:t xml:space="preserve">5. [Ưu tiên thấp] Tên field khác nhau giữa SRS và AC cho cùng 1 khái niệm</w:t>
      </w:r>
      <w:bookmarkEnd w:id="28"/>
    </w:p>
    <w:p>
      <w:pPr>
        <w:pStyle w:val="FirstParagraph"/>
      </w:pPr>
      <w:r>
        <w:t xml:space="preserve">AC (§5.4, M1-US-04) gọi field yêu cầu lý do khi bị Flag là</w:t>
      </w:r>
      <w:r>
        <w:t xml:space="preserve"> </w:t>
      </w:r>
      <w:r>
        <w:t xml:space="preserve">“</w:t>
      </w:r>
      <w:r>
        <w:rPr>
          <w:b/>
        </w:rPr>
        <w:t xml:space="preserve">Flag for Clinical Review</w:t>
      </w:r>
      <w:r>
        <w:t xml:space="preserve">”</w:t>
      </w:r>
      <w:r>
        <w:t xml:space="preserve">; SRS gọi là</w:t>
      </w:r>
      <w:r>
        <w:t xml:space="preserve"> </w:t>
      </w:r>
      <w:r>
        <w:t xml:space="preserve">“</w:t>
      </w:r>
      <w:r>
        <w:rPr>
          <w:b/>
        </w:rPr>
        <w:t xml:space="preserve">Override Reason</w:t>
      </w:r>
      <w:r>
        <w:t xml:space="preserve">”</w:t>
      </w:r>
      <w:r>
        <w:t xml:space="preserve">. Cùng một field, 2 tên khác nhau — nên chọn 1 tên chung và đồng bộ lại cả 2 tài liệu.</w:t>
      </w:r>
    </w:p>
    <w:p>
      <w:pPr>
        <w:pStyle w:val="Heading2"/>
      </w:pPr>
      <w:bookmarkStart w:id="29" w:name="Xe86b5e076eb26f7f81bbd371e1d3c825c53cc49"/>
      <w:r>
        <w:t xml:space="preserve">Khuyến nghị hành động (theo thứ tự ưu tiên)</w:t>
      </w:r>
      <w:bookmarkEnd w:id="29"/>
    </w:p>
    <w:p>
      <w:pPr>
        <w:numPr>
          <w:ilvl w:val="0"/>
          <w:numId w:val="1002"/>
        </w:numPr>
        <w:pStyle w:val="Compact"/>
      </w:pPr>
      <w:r>
        <w:t xml:space="preserve">Bổ sung cột</w:t>
      </w:r>
      <w:r>
        <w:t xml:space="preserve"> </w:t>
      </w:r>
      <w:r>
        <w:rPr>
          <w:b/>
        </w:rPr>
        <w:t xml:space="preserve">Daily Rate</w:t>
      </w:r>
      <w:r>
        <w:t xml:space="preserve"> </w:t>
      </w:r>
      <w:r>
        <w:t xml:space="preserve">và</w:t>
      </w:r>
      <w:r>
        <w:t xml:space="preserve"> </w:t>
      </w:r>
      <w:r>
        <w:rPr>
          <w:b/>
        </w:rPr>
        <w:t xml:space="preserve">End Date</w:t>
      </w:r>
      <w:r>
        <w:t xml:space="preserve"> </w:t>
      </w:r>
      <w:r>
        <w:t xml:space="preserve">(hoặc</w:t>
      </w:r>
      <w:r>
        <w:t xml:space="preserve"> </w:t>
      </w:r>
      <w:r>
        <w:t xml:space="preserve">“</w:t>
      </w:r>
      <w:r>
        <w:t xml:space="preserve">Effective Period</w:t>
      </w:r>
      <w:r>
        <w:t xml:space="preserve">”</w:t>
      </w:r>
      <w:r>
        <w:t xml:space="preserve">) vào bảng LOC History Table ở M1-US-09.</w:t>
      </w:r>
    </w:p>
    <w:p>
      <w:pPr>
        <w:numPr>
          <w:ilvl w:val="0"/>
          <w:numId w:val="1002"/>
        </w:numPr>
        <w:pStyle w:val="Compact"/>
      </w:pPr>
      <w:r>
        <w:t xml:space="preserve">Họp nhanh với Bac để chốt luồng Reassessment hoàn chỉnh nối M1-US-06 &lt;-&gt; M2-US-07, cập nhật lại Post-Condition của cả M1-US-07 và Actions của M2-US-07.</w:t>
      </w:r>
    </w:p>
    <w:p>
      <w:pPr>
        <w:numPr>
          <w:ilvl w:val="0"/>
          <w:numId w:val="1002"/>
        </w:numPr>
        <w:pStyle w:val="Compact"/>
      </w:pPr>
      <w:r>
        <w:t xml:space="preserve">Đổi ngôn ngữ Actions từ tên riêng cụ thể sang vai trò chung (</w:t>
      </w:r>
      <w:r>
        <w:t xml:space="preserve">“</w:t>
      </w:r>
      <w:r>
        <w:t xml:space="preserve">the Nurse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the DON</w:t>
      </w:r>
      <w:r>
        <w:t xml:space="preserve">”</w:t>
      </w:r>
      <w:r>
        <w:t xml:space="preserve">) cho toàn bộ 9 screens, để đồng bộ với convention Bac/Van đang dùng.</w:t>
      </w:r>
    </w:p>
    <w:p>
      <w:pPr>
        <w:numPr>
          <w:ilvl w:val="0"/>
          <w:numId w:val="1002"/>
        </w:numPr>
        <w:pStyle w:val="Compact"/>
      </w:pPr>
      <w:r>
        <w:t xml:space="preserve">Đổi nhãn các nhánh lỗi trong Actions từ</w:t>
      </w:r>
      <w:r>
        <w:t xml:space="preserve"> </w:t>
      </w:r>
      <w:r>
        <w:t xml:space="preserve">“</w:t>
      </w:r>
      <w:r>
        <w:t xml:space="preserve">Alternate Flow</w:t>
      </w:r>
      <w:r>
        <w:t xml:space="preserve">”</w:t>
      </w:r>
      <w:r>
        <w:t xml:space="preserve"> </w:t>
      </w:r>
      <w:r>
        <w:t xml:space="preserve">sang</w:t>
      </w:r>
      <w:r>
        <w:t xml:space="preserve"> </w:t>
      </w:r>
      <w:r>
        <w:t xml:space="preserve">“</w:t>
      </w:r>
      <w:r>
        <w:t xml:space="preserve">Exception Flow</w:t>
      </w:r>
      <w:r>
        <w:t xml:space="preserve">”</w:t>
      </w:r>
      <w:r>
        <w:t xml:space="preserve"> </w:t>
      </w:r>
      <w:r>
        <w:t xml:space="preserve">khi mô tả lỗi/hệ thống fail (không áp dụng cho nhánh nghiệp vụ hợp lệ khác).</w:t>
      </w:r>
    </w:p>
    <w:p>
      <w:pPr>
        <w:numPr>
          <w:ilvl w:val="0"/>
          <w:numId w:val="1002"/>
        </w:numPr>
        <w:pStyle w:val="Compact"/>
      </w:pPr>
      <w:r>
        <w:t xml:space="preserve">Đồng bộ tên field</w:t>
      </w:r>
      <w:r>
        <w:t xml:space="preserve"> </w:t>
      </w:r>
      <w:r>
        <w:t xml:space="preserve">“</w:t>
      </w:r>
      <w:r>
        <w:t xml:space="preserve">Override Reason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Flag for Clinical Review</w:t>
      </w:r>
      <w:r>
        <w:t xml:space="preserve">”</w:t>
      </w:r>
      <w:r>
        <w:t xml:space="preserve"> </w:t>
      </w:r>
      <w:r>
        <w:t xml:space="preserve">giữa SRS và US/AC.</w:t>
      </w:r>
    </w:p>
    <w:p>
      <w:pPr>
        <w:pStyle w:val="Heading2"/>
      </w:pPr>
      <w:bookmarkStart w:id="30" w:name="X1e937b1930beac348d24a905737d6921837a1fd"/>
      <w:r>
        <w:t xml:space="preserve">Điểm mạnh cần giữ lại (áp dụng cho cả project)</w:t>
      </w:r>
      <w:bookmarkEnd w:id="30"/>
    </w:p>
    <w:p>
      <w:pPr>
        <w:numPr>
          <w:ilvl w:val="0"/>
          <w:numId w:val="1003"/>
        </w:numPr>
        <w:pStyle w:val="Compact"/>
      </w:pPr>
      <w:r>
        <w:t xml:space="preserve">Cách Thien đối chiếu số liệu cụ thể xuyên module (ví dụ $248/day Level 3 khớp giữa M1-US-08 và AD-06 của Loc, LC-G4 gate khớp giữa M1-US-08 và M2-US-02b của Van) là mẫu tốt cho việc viết SRS nhất quán toàn hệ thống — nên yêu cầu các thành viên khác kiểm tra chéo số liệu tương tự trước khi nộp.</w:t>
      </w:r>
    </w:p>
    <w:p>
      <w:pPr>
        <w:numPr>
          <w:ilvl w:val="0"/>
          <w:numId w:val="1003"/>
        </w:numPr>
        <w:pStyle w:val="Compact"/>
      </w:pPr>
      <w:r>
        <w:t xml:space="preserve">Định nghĩa rõ ràng, có ngưỡng số cụ thể cho LOC 4-tier (0-8/9-16/17-24/25-32) nên được nâng lên thành 1 bảng tham chiếu chung ở section 1.3 Terms &amp; Abbreviations của bản SRS master, để các file khác (đã có chỗ ghi sai</w:t>
      </w:r>
      <w:r>
        <w:t xml:space="preserve"> </w:t>
      </w:r>
      <w:r>
        <w:t xml:space="preserve">“</w:t>
      </w:r>
      <w:r>
        <w:t xml:space="preserve">Tier 1-5</w:t>
      </w:r>
      <w:r>
        <w:t xml:space="preserve">”</w:t>
      </w:r>
      <w:r>
        <w:t xml:space="preserve">) không còn suy đoán.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2026-07-20T03:17:15Z</dcterms:created>
  <dcterms:modified xsi:type="dcterms:W3CDTF">2026-07-20T03:17:15Z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