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91"/>
        </w:rPr>
        <w:t>5G CBD Densification, Technical Justification v3</w:t>
      </w:r>
    </w:p>
    <w:p>
      <w:r>
        <w:rPr>
          <w:i/>
        </w:rPr>
        <w:t>Author: Sheila Stokes, Senior Network Planning Engineer (sheila.stokes@Finthesiss.ai)</w:t>
        <w:br/>
      </w:r>
      <w:r>
        <w:rPr>
          <w:i/>
        </w:rPr>
        <w:t>Date: 2026-09-22 | Version: v3 (supersedes v2 of 2026-08-30)</w:t>
        <w:br/>
      </w:r>
      <w:r>
        <w:rPr>
          <w:i/>
        </w:rPr>
        <w:t>Linked confluence: pg_5g_tech_position_v3 | Project: PRJ-ABU-5G</w:t>
        <w:br/>
      </w:r>
      <w:r>
        <w:rPr>
          <w:b/>
        </w:rPr>
        <w:t>Filing position MUST align with this version.</w:t>
        <w:br/>
      </w:r>
    </w:p>
    <w:p>
      <w:pPr>
        <w:pStyle w:val="Heading1"/>
      </w:pPr>
      <w:r>
        <w:t>Executive summary</w:t>
      </w:r>
    </w:p>
    <w:p>
      <w:r>
        <w:t>This document presents the technical justification for the TelcoNG NetPlan application to the Nigerian Communications Commission for the assignment of 100 MHz of spectrum in the 3500-3600 MHz lower portion of the 3.5 GHz band, for the Abuja CBD 5G Densification Pilot. The document is version 3, locked on 2026-09-22, and is the authoritative technical position against which the filing submission shall align. Any subsequent edits shall be re-versioned and re-approved by the Network Planning team and the Director of Network Operations.</w:t>
      </w:r>
    </w:p>
    <w:p>
      <w:pPr>
        <w:pStyle w:val="Heading1"/>
      </w:pPr>
      <w:r>
        <w:t>1. Spectrum band rationale</w:t>
      </w:r>
    </w:p>
    <w:p>
      <w:r>
        <w:t>We request 100 MHz contiguous in the 3500-3600 MHz lower portion of the 3.5 GHz band for the Abuja CBD pilot. The rationale rests on four points: (a) the 3.5 GHz band is the globally harmonised mid-band for IMT-2020 (5G) per ITU-R WP 5D guidance and the WRC-19 outcome; (b) the 3500-3600 MHz sub-range is the recommended sub-range for early IMT deployment because it is furthest from FSS earth stations in 3700+ and from radiolocation in 3300-3400; (c) the 3500-3600 MHz sub-range is currently unassigned in Abuja FCT, with no incumbent in the geographic area of the proposed deployment; (d) the 100 MHz contiguous block is the standard 5G NR carrier size for mid-band deployment, matching the configuration used by MTN Nigeria in Lagos and Port Harcourt and by Mafab Communications in Lagos. A smaller assignment would not allow a meaningful demonstration of mid-band 5G capacity in the dense urban environment that the CBD represents.</w:t>
      </w:r>
    </w:p>
    <w:p>
      <w:r>
        <w:t>Coordination filings are in place with the affected adjacent assignees. The FSS earth station operators in the 3800-4200 MHz adjacent band have all been notified per Recommendation ITU-R M.2117; three of four have provided written non-objection; the fourth is in negotiation and expected to conclude within the 60-day Commission determination period. The Ministry of Defence radiolocation reservation in 3300-3400 MHz has been the subject of a coordination filing per Annex C-4 of the submission; the MoD has provided written non-objection on 2026-09-15.</w:t>
      </w:r>
    </w:p>
    <w:p>
      <w:pPr>
        <w:pStyle w:val="Heading1"/>
      </w:pPr>
      <w:r>
        <w:t>2. Site density justification: CBD coverage gap analysis</w:t>
      </w:r>
    </w:p>
    <w:p>
      <w:r>
        <w:t>Abuja's Central Business District (Wuse, Maitama, Garki, Asokoro, Central Business District proper) covers an area of approximately 28 square kilometres and houses approximately 95,000 daily workers during business hours, with a residential population of approximately 38,000. Current 4G coverage is provided by the incumbent operators across approximately 180 cell sites in the CBD, achieving a measured median downlink throughput of 22 Mbps and a measured p95 latency of 64 ms in the TelcoNG 2026-Q2 drive test campaign. These performance levels are inadequate for the emerging use cases the CBD requires: enterprise mobile broadband for the federal ministries and embassies concentrated in the area, fixed wireless access as an alternative to fibre last-mile, and the early-adopter demand for 5G-enabled mobile devices that the CBD's workforce represents.</w:t>
      </w:r>
    </w:p>
    <w:p>
      <w:r>
        <w:t>The proposed pilot deploys 24 5G NR sites in a densified grid covering the 28 km² CBD footprint, with inter-site distances of approximately 600 metres. Coverage simulation using TelcoNG's propagation models (Ericsson 9999 model calibrated against 2024-2025 measurement campaigns) predicts median DL throughput of 380 Mbps and p95 latency of 18 ms across the coverage area, a factor of 17 throughput improvement and 3.6 latency improvement over the current 4G baseline. The site density is consistent with deployments of comparable 5G mid-band pilots in Lagos (MTN, 32 sites over 40 km²) and Port Harcourt (MTN, 18 sites over 22 km²).</w:t>
      </w:r>
    </w:p>
    <w:p>
      <w:pPr>
        <w:pStyle w:val="Heading1"/>
      </w:pPr>
      <w:r>
        <w:t>3. Public safety and EMF compliance attestation</w:t>
      </w:r>
    </w:p>
    <w:p>
      <w:r>
        <w:t>Each 5G NR site in the pilot shall comply with the EMF exposure limits set by the Nigerian Communications Commission as adopted from the ICNIRP 1998 guidelines, with the 2020 ICNIRP update applied where it is more restrictive. The methodology is documented in the EMF Compliance Methodology (linked: emf_compliance_methodology.docx) and is summarised here. For each site, the predicted peak field strength at the closest publicly accessible location shall be at least 6 dB below the ICNIRP general public exposure limit (4.5 W/m² at 3500 MHz), to provide margin for installation tolerance and equipment ageing.</w:t>
      </w:r>
    </w:p>
    <w:p>
      <w:r>
        <w:t>Field measurement shall be conducted by an independent third party (PowerScan Nigeria Ltd, NCC-approved measurement firm) within 90 days of each site going live. Measurement reports shall be filed with the Commission per the standard reporting framework, with copies retained at the TelcoNG NetPlan office for the 7-year statutory record-keeping period.</w:t>
      </w:r>
    </w:p>
    <w:p>
      <w:pPr>
        <w:pStyle w:val="Heading1"/>
      </w:pPr>
      <w:r>
        <w:t>4. Local-content commitment per NCC framework</w:t>
      </w:r>
    </w:p>
    <w:p>
      <w:r>
        <w:t>TelcoNG NetPlan's local-content commitment for the Abuja CBD pilot is set out below, by category. Percentages reflect Nigerian-resident attribution of capital, operational, and employment contributions. The breakdown is consistent with the published NCC Local Content Framework as updated in March 2024.</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 Local content (Nigerian-resident attribution)</w:t>
            </w:r>
          </w:p>
        </w:tc>
        <w:tc>
          <w:tcPr>
            <w:tcW w:type="dxa" w:w="3120"/>
          </w:tcPr>
          <w:p>
            <w:r>
              <w:rPr>
                <w:b/>
              </w:rPr>
              <w:t>Source of attribution</w:t>
            </w:r>
          </w:p>
        </w:tc>
      </w:tr>
      <w:tr>
        <w:tc>
          <w:tcPr>
            <w:tcW w:type="dxa" w:w="3120"/>
          </w:tcPr>
          <w:p>
            <w:r>
              <w:t>Civil works (site construction)</w:t>
            </w:r>
          </w:p>
        </w:tc>
        <w:tc>
          <w:tcPr>
            <w:tcW w:type="dxa" w:w="3120"/>
          </w:tcPr>
          <w:p>
            <w:r>
              <w:t>100%</w:t>
            </w:r>
          </w:p>
        </w:tc>
        <w:tc>
          <w:tcPr>
            <w:tcW w:type="dxa" w:w="3120"/>
          </w:tcPr>
          <w:p>
            <w:r>
              <w:t>Nigerian civil contractors, locally hired labour</w:t>
            </w:r>
          </w:p>
        </w:tc>
      </w:tr>
      <w:tr>
        <w:tc>
          <w:tcPr>
            <w:tcW w:type="dxa" w:w="3120"/>
          </w:tcPr>
          <w:p>
            <w:r>
              <w:t>RF planning and engineering</w:t>
            </w:r>
          </w:p>
        </w:tc>
        <w:tc>
          <w:tcPr>
            <w:tcW w:type="dxa" w:w="3120"/>
          </w:tcPr>
          <w:p>
            <w:r>
              <w:t>100%</w:t>
            </w:r>
          </w:p>
        </w:tc>
        <w:tc>
          <w:tcPr>
            <w:tcW w:type="dxa" w:w="3120"/>
          </w:tcPr>
          <w:p>
            <w:r>
              <w:t>Sheila Stokes' team of 8 + 4 RF consultants</w:t>
            </w:r>
          </w:p>
        </w:tc>
      </w:tr>
      <w:tr>
        <w:tc>
          <w:tcPr>
            <w:tcW w:type="dxa" w:w="3120"/>
          </w:tcPr>
          <w:p>
            <w:r>
              <w:t>Equipment installation</w:t>
            </w:r>
          </w:p>
        </w:tc>
        <w:tc>
          <w:tcPr>
            <w:tcW w:type="dxa" w:w="3120"/>
          </w:tcPr>
          <w:p>
            <w:r>
              <w:t>82%</w:t>
            </w:r>
          </w:p>
        </w:tc>
        <w:tc>
          <w:tcPr>
            <w:tcW w:type="dxa" w:w="3120"/>
          </w:tcPr>
          <w:p>
            <w:r>
              <w:t>Tachyon Nigerian installation team + 18% Tachyon HQ expert support</w:t>
            </w:r>
          </w:p>
        </w:tc>
      </w:tr>
      <w:tr>
        <w:tc>
          <w:tcPr>
            <w:tcW w:type="dxa" w:w="3120"/>
          </w:tcPr>
          <w:p>
            <w:r>
              <w:t>Equipment supply (CapEx)</w:t>
            </w:r>
          </w:p>
        </w:tc>
        <w:tc>
          <w:tcPr>
            <w:tcW w:type="dxa" w:w="3120"/>
          </w:tcPr>
          <w:p>
            <w:r>
              <w:t>15%</w:t>
            </w:r>
          </w:p>
        </w:tc>
        <w:tc>
          <w:tcPr>
            <w:tcW w:type="dxa" w:w="3120"/>
          </w:tcPr>
          <w:p>
            <w:r>
              <w:t>Tachyon Nigeria Ltd is local entity; 85% imports from Tachyon HQ</w:t>
            </w:r>
          </w:p>
        </w:tc>
      </w:tr>
      <w:tr>
        <w:tc>
          <w:tcPr>
            <w:tcW w:type="dxa" w:w="3120"/>
          </w:tcPr>
          <w:p>
            <w:r>
              <w:t>Software and firmware</w:t>
            </w:r>
          </w:p>
        </w:tc>
        <w:tc>
          <w:tcPr>
            <w:tcW w:type="dxa" w:w="3120"/>
          </w:tcPr>
          <w:p>
            <w:r>
              <w:t>0%</w:t>
            </w:r>
          </w:p>
        </w:tc>
        <w:tc>
          <w:tcPr>
            <w:tcW w:type="dxa" w:w="3120"/>
          </w:tcPr>
          <w:p>
            <w:r>
              <w:t>Vendor-controlled (Tachyon OEM); no local IP</w:t>
            </w:r>
          </w:p>
        </w:tc>
      </w:tr>
      <w:tr>
        <w:tc>
          <w:tcPr>
            <w:tcW w:type="dxa" w:w="3120"/>
          </w:tcPr>
          <w:p>
            <w:r>
              <w:t>Operations and maintenance (OpEx)</w:t>
            </w:r>
          </w:p>
        </w:tc>
        <w:tc>
          <w:tcPr>
            <w:tcW w:type="dxa" w:w="3120"/>
          </w:tcPr>
          <w:p>
            <w:r>
              <w:t>95%</w:t>
            </w:r>
          </w:p>
        </w:tc>
        <w:tc>
          <w:tcPr>
            <w:tcW w:type="dxa" w:w="3120"/>
          </w:tcPr>
          <w:p>
            <w:r>
              <w:t>TelcoNG O&amp;M team in Abuja + local support contractors</w:t>
            </w:r>
          </w:p>
        </w:tc>
      </w:tr>
      <w:tr>
        <w:tc>
          <w:tcPr>
            <w:tcW w:type="dxa" w:w="3120"/>
          </w:tcPr>
          <w:p>
            <w:r>
              <w:t>Customer support and care</w:t>
            </w:r>
          </w:p>
        </w:tc>
        <w:tc>
          <w:tcPr>
            <w:tcW w:type="dxa" w:w="3120"/>
          </w:tcPr>
          <w:p>
            <w:r>
              <w:t>100%</w:t>
            </w:r>
          </w:p>
        </w:tc>
        <w:tc>
          <w:tcPr>
            <w:tcW w:type="dxa" w:w="3120"/>
          </w:tcPr>
          <w:p>
            <w:r>
              <w:t>TelcoNG customer care centre in Lagos + Abuja</w:t>
            </w:r>
          </w:p>
        </w:tc>
      </w:tr>
      <w:tr>
        <w:tc>
          <w:tcPr>
            <w:tcW w:type="dxa" w:w="3120"/>
          </w:tcPr>
          <w:p>
            <w:r>
              <w:t>Direct employment (FTE)</w:t>
            </w:r>
          </w:p>
        </w:tc>
        <w:tc>
          <w:tcPr>
            <w:tcW w:type="dxa" w:w="3120"/>
          </w:tcPr>
          <w:p>
            <w:r>
              <w:t>100%</w:t>
            </w:r>
          </w:p>
        </w:tc>
        <w:tc>
          <w:tcPr>
            <w:tcW w:type="dxa" w:w="3120"/>
          </w:tcPr>
          <w:p>
            <w:r>
              <w:t>All 8 engineers + 4 contractors are Nigerian residents</w:t>
            </w:r>
          </w:p>
        </w:tc>
      </w:tr>
    </w:tbl>
    <w:p>
      <w:pPr>
        <w:pStyle w:val="Heading1"/>
      </w:pPr>
      <w:r>
        <w:t>5. Vendor equipment certification status</w:t>
      </w:r>
    </w:p>
    <w:p>
      <w:r>
        <w:t>Vendor equipment for the pilot is supplied by Tachyon Networks Nigeria Limited under PO TCH-PO-2026-019. The 80-line manifest covers 14 radio units (5G NR Massive MIMO 64TR ed.2 and ed.1), 9 baseband processors (BBU-7600 and BBU-7400), 18 antenna and feeder assemblies, 11 optical transport modules, 8 power and battery shelves, 5 test instruments, 10 civil ancillaries, and 5 spare units. The full per-line manifest is maintained in TelcoNG's airtable records_vendor_manifest table and is available to the Commission on request.</w:t>
      </w:r>
    </w:p>
    <w:p>
      <w:r>
        <w:t>Certification status: all radio-emitting families (radio units, baseband processors with integrated radios) have current NCC type-approval certificates, with one exception. The 64TR ed.2 radio unit family (covered by manifest line VND-2026-Q4-0061) is awaiting a type-approval cross-check certificate that we expect to receive within 5 business days. The cross-check is a procedural step required because the ed.2 variant is a firmware-level update to the ed.1 (which has current certification); the Commission's Type Approval office issues a cross-check certificate to confirm the firmware update does not alter the radiated emissions profile. This is a routine procedural matter and is the subject of an ongoing logistics arrangement with Tachyon's Lagos office.</w:t>
      </w:r>
    </w:p>
    <w:p>
      <w:pPr>
        <w:pStyle w:val="Heading1"/>
      </w:pPr>
      <w:r>
        <w:t>6. Version history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Version</w:t>
            </w:r>
          </w:p>
        </w:tc>
        <w:tc>
          <w:tcPr>
            <w:tcW w:type="dxa" w:w="3120"/>
          </w:tcPr>
          <w:p>
            <w:r>
              <w:rPr>
                <w:b/>
              </w:rPr>
              <w:t>Date</w:t>
            </w:r>
          </w:p>
        </w:tc>
        <w:tc>
          <w:tcPr>
            <w:tcW w:type="dxa" w:w="3120"/>
          </w:tcPr>
          <w:p>
            <w:r>
              <w:rPr>
                <w:b/>
              </w:rPr>
              <w:t>Summary</w:t>
            </w:r>
          </w:p>
        </w:tc>
      </w:tr>
      <w:tr>
        <w:tc>
          <w:tcPr>
            <w:tcW w:type="dxa" w:w="3120"/>
          </w:tcPr>
          <w:p>
            <w:r>
              <w:t>v1</w:t>
            </w:r>
          </w:p>
        </w:tc>
        <w:tc>
          <w:tcPr>
            <w:tcW w:type="dxa" w:w="3120"/>
          </w:tcPr>
          <w:p>
            <w:r>
              <w:t>2026-07-20</w:t>
            </w:r>
          </w:p>
        </w:tc>
        <w:tc>
          <w:tcPr>
            <w:tcW w:type="dxa" w:w="3120"/>
          </w:tcPr>
          <w:p>
            <w:r>
              <w:t>Initial draft; high-level position only</w:t>
            </w:r>
          </w:p>
        </w:tc>
      </w:tr>
      <w:tr>
        <w:tc>
          <w:tcPr>
            <w:tcW w:type="dxa" w:w="3120"/>
          </w:tcPr>
          <w:p>
            <w:r>
              <w:t>v2</w:t>
            </w:r>
          </w:p>
        </w:tc>
        <w:tc>
          <w:tcPr>
            <w:tcW w:type="dxa" w:w="3120"/>
          </w:tcPr>
          <w:p>
            <w:r>
              <w:t>2026-08-30</w:t>
            </w:r>
          </w:p>
        </w:tc>
        <w:tc>
          <w:tcPr>
            <w:tcW w:type="dxa" w:w="3120"/>
          </w:tcPr>
          <w:p>
            <w:r>
              <w:t>Added Section 4 local content; restructured spectrum rationale</w:t>
            </w:r>
          </w:p>
        </w:tc>
      </w:tr>
      <w:tr>
        <w:tc>
          <w:tcPr>
            <w:tcW w:type="dxa" w:w="3120"/>
          </w:tcPr>
          <w:p>
            <w:r>
              <w:t>v3</w:t>
            </w:r>
          </w:p>
        </w:tc>
        <w:tc>
          <w:tcPr>
            <w:tcW w:type="dxa" w:w="3120"/>
          </w:tcPr>
          <w:p>
            <w:r>
              <w:t>2026-09-22</w:t>
            </w:r>
          </w:p>
        </w:tc>
        <w:tc>
          <w:tcPr>
            <w:tcW w:type="dxa" w:w="3120"/>
          </w:tcPr>
          <w:p>
            <w:r>
              <w:t>Locked filing position. Added Section 2 detailed CBD analysis. Section 5 vendor certification status updated. Footer: v3, Sept 22, 2026. Supersedes v2 (Aug 30, 2026). Filing position must align with this version.</w:t>
            </w:r>
          </w:p>
        </w:tc>
      </w:tr>
    </w:tbl>
    <w:p/>
    <w:p>
      <w:r>
        <w:rPr>
          <w:b/>
        </w:rPr>
        <w:t xml:space="preserve">End of Technical Justification v3. </w:t>
      </w:r>
      <w:r>
        <w:rPr>
          <w:i/>
        </w:rPr>
        <w:t>For incorporation into Form NCC-7B Section D as Annex D-1. Linked confluence page: pg_5g_tech_position_v3. v3, Sept 22, 2026. Supersedes v2 (Aug 30, 2026). Filing position must align with this version.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