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91"/>
        </w:rPr>
        <w:t>EMF Compliance Methodology</w:t>
      </w:r>
    </w:p>
    <w:p>
      <w:r>
        <w:rPr>
          <w:i/>
        </w:rPr>
        <w:t>Author: Sheila Stokes, Senior Network Planning Engineer</w:t>
        <w:br/>
      </w:r>
      <w:r>
        <w:rPr>
          <w:i/>
        </w:rPr>
        <w:t>Date: 2026-09-25 | Version: v2 | Linked confluence: pg_emf_compliance_methodology</w:t>
        <w:br/>
      </w:r>
    </w:p>
    <w:p>
      <w:pPr>
        <w:pStyle w:val="Heading1"/>
      </w:pPr>
      <w:r>
        <w:t>1. Purpose</w:t>
      </w:r>
    </w:p>
    <w:p>
      <w:r>
        <w:t>This document specifies the methodology for verifying compliance of 5G CBD pilot installations with the electromagnetic-field (EMF) exposure limits adopted by the Nigerian Communications Commission. The methodology applies to each of the 24 sites in the pilot and is the procedural basis for the EMF Compliance Attestation submitted as part of the Form NCC-7B Section D filing.</w:t>
      </w:r>
    </w:p>
    <w:p>
      <w:pPr>
        <w:pStyle w:val="Heading1"/>
      </w:pPr>
      <w:r>
        <w:t>2. Reference standards</w:t>
      </w:r>
    </w:p>
    <w:p>
      <w:r>
        <w:t>The methodology is based on the ICNIRP 1998 guidelines for limiting exposure to time-varying electric, magnetic, and electromagnetic fields, as adopted in NCC technical standards through the Nigerian Communications Commission Electromagnetic Field Exposure Compliance Standard (NCC-EMF-2015, as amended). Where the ICNIRP 2020 update applies a more restrictive limit than the 1998 baseline, the more restrictive limit is applied.</w:t>
      </w:r>
    </w:p>
    <w:p>
      <w:r>
        <w:t>Applicable exposure limits at the 3500 MHz reference frequency: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Category</w:t>
            </w:r>
          </w:p>
        </w:tc>
        <w:tc>
          <w:tcPr>
            <w:tcW w:type="dxa" w:w="2340"/>
          </w:tcPr>
          <w:p>
            <w:r>
              <w:rPr>
                <w:b/>
              </w:rPr>
              <w:t>ICNIRP 1998 limit</w:t>
            </w:r>
          </w:p>
        </w:tc>
        <w:tc>
          <w:tcPr>
            <w:tcW w:type="dxa" w:w="2340"/>
          </w:tcPr>
          <w:p>
            <w:r>
              <w:rPr>
                <w:b/>
              </w:rPr>
              <w:t>ICNIRP 2020 limit</w:t>
            </w:r>
          </w:p>
        </w:tc>
        <w:tc>
          <w:tcPr>
            <w:tcW w:type="dxa" w:w="2340"/>
          </w:tcPr>
          <w:p>
            <w:r>
              <w:rPr>
                <w:b/>
              </w:rPr>
              <w:t>Applicable limit (NCC)</w:t>
            </w:r>
          </w:p>
        </w:tc>
      </w:tr>
      <w:tr>
        <w:tc>
          <w:tcPr>
            <w:tcW w:type="dxa" w:w="2340"/>
          </w:tcPr>
          <w:p>
            <w:r>
              <w:t>General public exposure</w:t>
            </w:r>
          </w:p>
        </w:tc>
        <w:tc>
          <w:tcPr>
            <w:tcW w:type="dxa" w:w="2340"/>
          </w:tcPr>
          <w:p>
            <w:r>
              <w:t>4.5 W/m²</w:t>
            </w:r>
          </w:p>
        </w:tc>
        <w:tc>
          <w:tcPr>
            <w:tcW w:type="dxa" w:w="2340"/>
          </w:tcPr>
          <w:p>
            <w:r>
              <w:t>10 W/m² (whole-body avg)</w:t>
            </w:r>
          </w:p>
        </w:tc>
        <w:tc>
          <w:tcPr>
            <w:tcW w:type="dxa" w:w="2340"/>
          </w:tcPr>
          <w:p>
            <w:r>
              <w:t>4.5 W/m² (ICNIRP 1998)</w:t>
            </w:r>
          </w:p>
        </w:tc>
      </w:tr>
      <w:tr>
        <w:tc>
          <w:tcPr>
            <w:tcW w:type="dxa" w:w="2340"/>
          </w:tcPr>
          <w:p>
            <w:r>
              <w:t>Occupational exposure</w:t>
            </w:r>
          </w:p>
        </w:tc>
        <w:tc>
          <w:tcPr>
            <w:tcW w:type="dxa" w:w="2340"/>
          </w:tcPr>
          <w:p>
            <w:r>
              <w:t>22.5 W/m²</w:t>
            </w:r>
          </w:p>
        </w:tc>
        <w:tc>
          <w:tcPr>
            <w:tcW w:type="dxa" w:w="2340"/>
          </w:tcPr>
          <w:p>
            <w:r>
              <w:t>50 W/m² (whole-body avg)</w:t>
            </w:r>
          </w:p>
        </w:tc>
        <w:tc>
          <w:tcPr>
            <w:tcW w:type="dxa" w:w="2340"/>
          </w:tcPr>
          <w:p>
            <w:r>
              <w:t>22.5 W/m² (ICNIRP 1998)</w:t>
            </w:r>
          </w:p>
        </w:tc>
      </w:tr>
    </w:tbl>
    <w:p>
      <w:pPr>
        <w:pStyle w:val="Heading1"/>
      </w:pPr>
      <w:r>
        <w:t>3. 5-step compliance test</w:t>
      </w:r>
    </w:p>
    <w:p>
      <w:r>
        <w:t>Each site shall be assessed against the 5-step compliance test below before energisation, with field re-measurement within 90 days of going live.</w:t>
      </w:r>
    </w:p>
    <w:p>
      <w:pPr>
        <w:pStyle w:val="ListNumber"/>
      </w:pPr>
      <w:r>
        <w:t>Step 1: Predicted field strength calculation</w:t>
      </w:r>
    </w:p>
    <w:p>
      <w:r>
        <w:t>Using the antenna manufacturer's calibrated radiation pattern, calculate the predicted peak field strength at every publicly accessible location within 100 metres of the antenna. The calculation must apply the Tachyon-supplied beamforming codebook for the 5G NR Massive MIMO antenna and must use the worst-case beam direction.</w:t>
      </w:r>
    </w:p>
    <w:p>
      <w:pPr>
        <w:pStyle w:val="ListNumber"/>
      </w:pPr>
      <w:r>
        <w:t>Step 2: Margin verification</w:t>
      </w:r>
    </w:p>
    <w:p>
      <w:r>
        <w:t>Verify that the predicted peak field strength at the closest publicly accessible location is at least 6 dB below the 4.5 W/m² ICNIRP general public exposure limit. The 6 dB margin accommodates installation tolerance, equipment ageing, and modelling uncertainty.</w:t>
      </w:r>
    </w:p>
    <w:p>
      <w:pPr>
        <w:pStyle w:val="ListNumber"/>
      </w:pPr>
      <w:r>
        <w:t>Step 3: Sensitive-receptor analysis</w:t>
      </w:r>
    </w:p>
    <w:p>
      <w:r>
        <w:t>Identify all sensitive receptors (schools, hospitals, places of worship, residences with children under 12) within 200 metres of the antenna. For each, verify the predicted field strength is at least 10 dB below the ICNIRP limit, with the additional 4 dB margin reflecting the precautionary principle for sensitive populations.</w:t>
      </w:r>
    </w:p>
    <w:p>
      <w:pPr>
        <w:pStyle w:val="ListNumber"/>
      </w:pPr>
      <w:r>
        <w:t>Step 4: Coordination with adjacent assignments</w:t>
      </w:r>
    </w:p>
    <w:p>
      <w:r>
        <w:t>Where the site is within 500 metres of another operator's antenna in the same or adjacent band, calculate the cumulative exposure. The cumulative exposure shall not exceed 80% of the ICNIRP limit at any publicly accessible point.</w:t>
      </w:r>
    </w:p>
    <w:p>
      <w:pPr>
        <w:pStyle w:val="ListNumber"/>
      </w:pPr>
      <w:r>
        <w:t>Step 5: Field measurement post-energisation</w:t>
      </w:r>
    </w:p>
    <w:p>
      <w:r>
        <w:t>Within 90 days of energisation, an independent third party (PowerScan Nigeria Ltd, NCC-approved measurement firm) shall measure actual field strength at the test points identified in Step 1. Measured values must agree with predictions to within ±2 dB. Discrepancies trigger a re-test and, if confirmed, an investigation into installation conformity.</w:t>
      </w:r>
    </w:p>
    <w:p>
      <w:pPr>
        <w:pStyle w:val="Heading1"/>
      </w:pPr>
      <w:r>
        <w:t>4. Documentation and record-keeping</w:t>
      </w:r>
    </w:p>
    <w:p>
      <w:r>
        <w:t>For each of the 24 sites, the following records shall be maintained at the TelcoNG NetPlan office and made available to the NCC on request: Step 1 prediction calculations with manufacturer calibration data, Step 2 margin verification with worst-case beam analysis, Step 3 sensitive-receptor analysis with on-site survey notes, Step 4 cumulative exposure analysis where applicable, and Step 5 field measurement reports with PowerScan certification. Records shall be retained for the 7-year statutory record-keeping period per Section 121(4)(f) of the Communications Act.</w:t>
      </w:r>
    </w:p>
    <w:p>
      <w:pPr>
        <w:pStyle w:val="Heading1"/>
      </w:pPr>
      <w:r>
        <w:t>5. Attestation</w:t>
      </w:r>
    </w:p>
    <w:p>
      <w:r>
        <w:t>By signing the EMF Compliance Attestation submitted with the Form NCC-7B Section D filing, TelcoNG NetPlan attests that all 24 sites in the Abuja CBD pilot shall be assessed against the 5-step compliance test before energisation, that no site shall be energised that fails any step, and that the post-energisation field measurement reports shall be filed with the Commission within 90 days of each site going live.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