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3D91"/>
        </w:rPr>
        <w:t>30 likely Commissioner questions - Mon Oct 5 NCC hearing</w:t>
      </w:r>
    </w:p>
    <w:p>
      <w:r>
        <w:rPr>
          <w:i/>
        </w:rPr>
        <w:t>Author: Fatima Musa, Regulatory Liaison</w:t>
        <w:br/>
      </w:r>
      <w:r>
        <w:rPr>
          <w:i/>
        </w:rPr>
        <w:t>Date: 2026-10-02 | For internal use; prep pack for Sheila Stokes</w:t>
        <w:br/>
      </w:r>
      <w:r>
        <w:rPr>
          <w:i/>
        </w:rPr>
        <w:t>Calibration: Commissioner Dr. Aminu Garba's style per 4 prior transcripts (hearing_transcripts_archive)</w:t>
        <w:br/>
      </w:r>
    </w:p>
    <w:p>
      <w:pPr>
        <w:pStyle w:val="Heading1"/>
      </w:pPr>
      <w:r>
        <w:t>Agenda item 1 - Spectrum allocation rationale (questions 1-6)</w:t>
      </w:r>
    </w:p>
    <w:p>
      <w:pPr>
        <w:pStyle w:val="ListNumber"/>
      </w:pPr>
      <w:r>
        <w:t>Why 3500-3600 MHz and not the upper portion of the band (3700-3800 MHz)?</w:t>
      </w:r>
    </w:p>
    <w:p>
      <w:pPr>
        <w:pStyle w:val="ListNumber"/>
      </w:pPr>
      <w:r>
        <w:t>What is the rationale for a 100 MHz contiguous block versus smaller assignments?</w:t>
      </w:r>
    </w:p>
    <w:p>
      <w:pPr>
        <w:pStyle w:val="ListNumber"/>
      </w:pPr>
      <w:r>
        <w:t>How do you compare this assignment to MTN's existing 3500-3600 MHz holding in Lagos?</w:t>
      </w:r>
    </w:p>
    <w:p>
      <w:pPr>
        <w:pStyle w:val="ListNumber"/>
      </w:pPr>
      <w:r>
        <w:t>Have you considered shared spectrum frameworks rather than exclusive assignment?</w:t>
      </w:r>
    </w:p>
    <w:p>
      <w:pPr>
        <w:pStyle w:val="ListNumber"/>
      </w:pPr>
      <w:r>
        <w:t>What's the rationale for the 10-year term you've requested?</w:t>
      </w:r>
    </w:p>
    <w:p>
      <w:pPr>
        <w:pStyle w:val="ListNumber"/>
      </w:pPr>
      <w:r>
        <w:t>Are you requesting renewal at the term expiry, or a fresh assignment?</w:t>
      </w:r>
    </w:p>
    <w:p/>
    <w:p>
      <w:pPr>
        <w:pStyle w:val="Heading1"/>
      </w:pPr>
      <w:r>
        <w:t>Agenda item 2 - Site density justification (questions 7-12)</w:t>
      </w:r>
    </w:p>
    <w:p>
      <w:pPr>
        <w:pStyle w:val="ListNumber"/>
      </w:pPr>
      <w:r>
        <w:t>Walk me through the gap analysis. What's the specific shortfall you're addressing?</w:t>
      </w:r>
    </w:p>
    <w:p>
      <w:pPr>
        <w:pStyle w:val="ListNumber"/>
      </w:pPr>
      <w:r>
        <w:t>Why 24 sites and not a smaller pilot?</w:t>
      </w:r>
    </w:p>
    <w:p>
      <w:pPr>
        <w:pStyle w:val="ListNumber"/>
      </w:pPr>
      <w:r>
        <w:t>What's the inter-site distance and how does that compare to international best practice?</w:t>
      </w:r>
    </w:p>
    <w:p>
      <w:pPr>
        <w:pStyle w:val="ListNumber"/>
      </w:pPr>
      <w:r>
        <w:t>How will you measure success? What KPIs trip a 'go' versus 'pause'?</w:t>
      </w:r>
    </w:p>
    <w:p>
      <w:pPr>
        <w:pStyle w:val="ListNumber"/>
      </w:pPr>
      <w:r>
        <w:t>What's the contingency if a site can't be acquired in time?</w:t>
      </w:r>
    </w:p>
    <w:p>
      <w:pPr>
        <w:pStyle w:val="ListNumber"/>
      </w:pPr>
      <w:r>
        <w:t>Have you considered partnering with existing tower companies rather than building new sites?</w:t>
      </w:r>
    </w:p>
    <w:p/>
    <w:p>
      <w:pPr>
        <w:pStyle w:val="Heading1"/>
      </w:pPr>
      <w:r>
        <w:t>Agenda item 3 - EMF compliance and public safety (questions 13-18)</w:t>
      </w:r>
    </w:p>
    <w:p>
      <w:pPr>
        <w:pStyle w:val="ListNumber"/>
      </w:pPr>
      <w:r>
        <w:t>Walk me through the EMF compliance methodology. Who reviewed it?</w:t>
      </w:r>
    </w:p>
    <w:p>
      <w:pPr>
        <w:pStyle w:val="ListNumber"/>
      </w:pPr>
      <w:r>
        <w:t>What ICNIRP version are you applying - 1998 or 2020?</w:t>
      </w:r>
    </w:p>
    <w:p>
      <w:pPr>
        <w:pStyle w:val="ListNumber"/>
      </w:pPr>
      <w:r>
        <w:t>How do you handle a site within 100m of a school?</w:t>
      </w:r>
    </w:p>
    <w:p>
      <w:pPr>
        <w:pStyle w:val="ListNumber"/>
      </w:pPr>
      <w:r>
        <w:t>Who is your independent measurement firm? Are they on the NCC approved list?</w:t>
      </w:r>
    </w:p>
    <w:p>
      <w:pPr>
        <w:pStyle w:val="ListNumber"/>
      </w:pPr>
      <w:r>
        <w:t>What's the path if a post-energisation measurement exceeds prediction?</w:t>
      </w:r>
    </w:p>
    <w:p>
      <w:pPr>
        <w:pStyle w:val="ListNumber"/>
      </w:pPr>
      <w:r>
        <w:t>How do you handle community objections related to EMF concerns?</w:t>
      </w:r>
    </w:p>
    <w:p/>
    <w:p>
      <w:pPr>
        <w:pStyle w:val="Heading1"/>
      </w:pPr>
      <w:r>
        <w:t>Agenda item 4 - Local-content commitment (questions 19-24)</w:t>
      </w:r>
    </w:p>
    <w:p>
      <w:pPr>
        <w:pStyle w:val="ListNumber"/>
      </w:pPr>
      <w:r>
        <w:t>What's your aggregate weighted local content?</w:t>
      </w:r>
    </w:p>
    <w:p>
      <w:pPr>
        <w:pStyle w:val="ListNumber"/>
      </w:pPr>
      <w:r>
        <w:t>The 15% equipment supply is low. What's the path forward?</w:t>
      </w:r>
    </w:p>
    <w:p>
      <w:pPr>
        <w:pStyle w:val="ListNumber"/>
      </w:pPr>
      <w:r>
        <w:t>Compare your commitment to what 9mobile committed in their 2025 5G pilot.</w:t>
      </w:r>
    </w:p>
    <w:p>
      <w:pPr>
        <w:pStyle w:val="ListNumber"/>
      </w:pPr>
      <w:r>
        <w:t>What happens if the Nigerian OEM market matures slower than your trajectory assumes?</w:t>
      </w:r>
    </w:p>
    <w:p>
      <w:pPr>
        <w:pStyle w:val="ListNumber"/>
      </w:pPr>
      <w:r>
        <w:t>Does the commitment apply to capital expenditure or operational expenditure or both?</w:t>
      </w:r>
    </w:p>
    <w:p>
      <w:pPr>
        <w:pStyle w:val="ListNumber"/>
      </w:pPr>
      <w:r>
        <w:t>How will you report local-content compliance to the Commission?</w:t>
      </w:r>
    </w:p>
    <w:p/>
    <w:p>
      <w:pPr>
        <w:pStyle w:val="Heading1"/>
      </w:pPr>
      <w:r>
        <w:t>Agenda item 5 - Vendor equipment certification (questions 25-30)</w:t>
      </w:r>
    </w:p>
    <w:p>
      <w:pPr>
        <w:pStyle w:val="ListNumber"/>
      </w:pPr>
      <w:r>
        <w:t>Are all your vendor equipment families NCC type-approved?</w:t>
      </w:r>
    </w:p>
    <w:p>
      <w:pPr>
        <w:pStyle w:val="ListNumber"/>
      </w:pPr>
      <w:r>
        <w:t>You have one family with a pending type-approval cross-check. What's the timeline?</w:t>
      </w:r>
    </w:p>
    <w:p>
      <w:pPr>
        <w:pStyle w:val="ListNumber"/>
      </w:pPr>
      <w:r>
        <w:t>What's your contingency if the cross-check is delayed beyond your delivery deadline?</w:t>
      </w:r>
    </w:p>
    <w:p>
      <w:pPr>
        <w:pStyle w:val="ListNumber"/>
      </w:pPr>
      <w:r>
        <w:t>How do you handle the vendor's request for a paid expedite arrangement?</w:t>
      </w:r>
    </w:p>
    <w:p>
      <w:pPr>
        <w:pStyle w:val="ListNumber"/>
      </w:pPr>
      <w:r>
        <w:t>Walk me through your vendor selection process. Why Tachyon?</w:t>
      </w:r>
    </w:p>
    <w:p>
      <w:pPr>
        <w:pStyle w:val="ListNumber"/>
      </w:pPr>
      <w:r>
        <w:t>What's the warranty and remediation framework if equipment fails acceptance testing?</w:t>
      </w:r>
    </w:p>
    <w:p/>
    <w:p>
      <w:pPr>
        <w:pStyle w:val="Heading1"/>
      </w:pPr>
      <w:r>
        <w:t>Closing note from Fatima</w:t>
      </w:r>
    </w:p>
    <w:p>
      <w:r>
        <w:t>Sheila - per the 4 prior transcripts in the archive (hearing_transcripts_archive_2024_2026.pdf), Commissioner Garba is direct, prefers brief answers anchored in evidence, and follows up immediately on anything that sounds rehearsed. Dr. Yusuf Ibrahim (Senior Spectrum Officer) joins the panel for questions 7-18 (technical agenda items). The Commissioner typically gives the applicant 15 minutes per agenda item including Q&amp;A, so each item is roughly 4-5 questions deep.</w:t>
      </w:r>
    </w:p>
    <w:p>
      <w:r>
        <w:t>I will be at the hearing with you. Pack badges and 2 forms of ID. Brief content lock at Sun 16:00. Filing window opens 12:00 noon Mon per the confluence v4 update from Olatunji this morning - check with him directly before standup if you have concerns about the time change.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