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rPr>
        <w:t>5G NR Massive MIMO Radio Acceptance Test Plan v3</w:t>
      </w:r>
    </w:p>
    <w:p>
      <w:r>
        <w:rPr>
          <w:i/>
        </w:rPr>
        <w:t>Vendor: Tachyon Networks Nigeria Limited | Project: Abuja CBD 5G Densification Pilot (PRJ-ABU-5G) | PO: TCH-PO-2026-019</w:t>
        <w:br/>
      </w:r>
      <w:r>
        <w:rPr>
          <w:i/>
        </w:rPr>
        <w:t>Author: Tunde Bello, 5G Pilot Lead Engineer (t.bello@telecorpng.com) | Date: 2026-09-28 | Version: v3 (supersedes v2 of 2026-09-12)</w:t>
        <w:br/>
      </w:r>
      <w:r>
        <w:rPr>
          <w:i/>
        </w:rPr>
        <w:t>Linked jira: FCBD-101 | Linked confluence: pg_vendor_acceptance_test</w:t>
        <w:br/>
      </w:r>
    </w:p>
    <w:p>
      <w:pPr>
        <w:pStyle w:val="Heading1"/>
      </w:pPr>
      <w:r>
        <w:t>1. Purpose and scope</w:t>
      </w:r>
    </w:p>
    <w:p>
      <w:r>
        <w:t>This Acceptance Test Plan governs the acceptance testing of all 5G NR Massive MIMO radio units and associated baseband processors supplied by Tachyon Networks Nigeria Limited under Purchase Order TCH-PO-2026-019 for the Abuja CBD 5G Densification Pilot. Acceptance testing is the contractual gating mechanism between delivery to the warehouse and commercial deployment to live sites: equipment that fails acceptance testing shall not be deployed and shall be replaced at the Supplier's cost per the warranty provisions of the PO.</w:t>
      </w:r>
    </w:p>
    <w:p>
      <w:r>
        <w:t>The Plan covers radio unit families 64TR ed.1 and 64TR ed.2, and baseband processor families BBU-7400 and BBU-7600. The full equipment inventory covered by this Plan spans 80 manifest lines totalling 14 radio units, 9 baseband processors, and 57 associated antenna, optical, power, and ancillary items. Antenna and ancillary items are subject to a simplified visual and physical inspection regime documented in Appendix A; this Plan focuses on the active equipment.</w:t>
      </w:r>
    </w:p>
    <w:p>
      <w:pPr>
        <w:pStyle w:val="Heading1"/>
      </w:pPr>
      <w:r>
        <w:t>2. RF acceptance criteria</w:t>
      </w:r>
    </w:p>
    <w:p>
      <w:r>
        <w:t>Each radio unit shall be tested against the following RF acceptance criteria. Tests are conducted in the Tachyon RF laboratory at Apo Industrial Estate, Abuja, using calibrated spectrum analysis and network analysis instrumentation. Test reports shall be witnessed by a TelcoNG NetPlan representative (Chinwe Eze, RF Engineer) and signed off by the Tachyon Test Authority (Ola Adeyemo) before the unit is released for commissioning.</w:t>
      </w:r>
    </w:p>
    <w:p>
      <w:pPr>
        <w:pStyle w:val="Heading2"/>
      </w:pPr>
      <w:r>
        <w:t>2.1 Transmit power and EVM</w:t>
      </w:r>
    </w:p>
    <w:p>
      <w:r>
        <w:t>Each transmit chain shall demonstrate output power within ±0.5 dB of the nominal rated power across the 3500-3600 MHz operating band at the rated antenna port. Error Vector Magnitude (EVM) shall not exceed 3% on the 256-QAM constellation at full power. Tests shall be conducted at ambient 25°C and repeated at the temperature extremes of -5°C and +55°C.</w:t>
      </w:r>
    </w:p>
    <w:p>
      <w:pPr>
        <w:pStyle w:val="Heading2"/>
      </w:pPr>
      <w:r>
        <w:t>2.2 Receive sensitivity and selectivity</w:t>
      </w:r>
    </w:p>
    <w:p>
      <w:r>
        <w:t>Receive sensitivity shall be measured at -94 dBm reference signal received power for QPSK and shall demonstrate a block error rate (BLER) below 1%. Adjacent channel selectivity (ACS) shall exceed 50 dB at the 5 MHz adjacent channel offset and 70 dB at the 10 MHz offset. Blocking performance shall meet the 3GPP TS 38.104 Wide Area BS Type 1-H specifications.</w:t>
      </w:r>
    </w:p>
    <w:p>
      <w:pPr>
        <w:pStyle w:val="Heading2"/>
      </w:pPr>
      <w:r>
        <w:t>2.3 Beam pattern verification</w:t>
      </w:r>
    </w:p>
    <w:p>
      <w:r>
        <w:t>The Massive MIMO beam pattern shall be measured in the Tachyon anechoic chamber using the calibration codebook provided by the OEM. The verified beam patterns shall be cross-checked against the digital twin model maintained in TelcoNG's coverage planning system. Discrepancies greater than 2 dB in any direction within the main lobe constitute a test failure.</w:t>
      </w:r>
    </w:p>
    <w:p>
      <w:pPr>
        <w:pStyle w:val="Heading1"/>
      </w:pPr>
      <w:r>
        <w:t>3. EMF compliance criteria</w:t>
      </w:r>
    </w:p>
    <w:p>
      <w:r>
        <w:t>Every radio unit shall undergo EMF compliance testing per the methodology documented in the TelcoNG NetPlan EMF Compliance Methodology document (pg_emf_compliance_methodology). Testing shall verify compliance with the ICNIRP 1998 guidelines as adopted in NCC technical standards for general public exposure (4.5 W/m² at the 3500 MHz reference frequency).</w:t>
      </w:r>
    </w:p>
    <w:p>
      <w:r>
        <w:t>Each radio unit shall be tested in a representative installation geometry at the Tachyon test tower facility. Field strength measurements shall be taken at distances of 3, 5, 10, 25, and 50 metres from the antenna boresight, at heights of 1.5, 5, and 10 metres above ground. The highest measured field strength at any test point shall be at least 6 dB below the ICNIRP general public exposure limit to provide margin for installation tolerance.</w:t>
      </w:r>
    </w:p>
    <w:p>
      <w:pPr>
        <w:pStyle w:val="Heading1"/>
      </w:pPr>
      <w:r>
        <w:t>4. Interoperability tests</w:t>
      </w:r>
    </w:p>
    <w:p>
      <w:r>
        <w:t>Each radio unit shall demonstrate interoperability with the BBU-7600 baseband processor in the configuration specified for the Abuja CBD pilot, comprising 4 radio units per BBU sector. Tests include initial attach, idle-mode mobility, connected-mode handover, packet data flow, and voice over NR (VoNR) call establishment. Test traffic shall comprise the standard 3GPP test suite (TS 36.521 / TS 38.521) augmented with TelcoNG-specific test cases for the urban macro environment, including dense user scenarios and high-mobility pedestrians.</w:t>
      </w:r>
    </w:p>
    <w:p>
      <w:pPr>
        <w:pStyle w:val="Heading1"/>
      </w:pPr>
      <w:r>
        <w:t>5. Handover tests</w:t>
      </w:r>
    </w:p>
    <w:p>
      <w:r>
        <w:t>Intra-frequency, inter-frequency, and inter-RAT handover tests shall be conducted between the 5G NR pilot equipment and the existing 4G LTE network in Abuja FCT. The handover success rate shall exceed 99.5% across at least 1,000 handover events per test category. Mean handover interruption time shall not exceed 50 ms for intra-frequency, 120 ms for inter-frequency, and 300 ms for inter-RAT to 4G LTE.</w:t>
      </w:r>
    </w:p>
    <w:p>
      <w:pPr>
        <w:pStyle w:val="Heading1"/>
      </w:pPr>
      <w:r>
        <w:t>6. KPI thresholds</w:t>
      </w:r>
    </w:p>
    <w:p>
      <w:r>
        <w:t>The following KPI thresholds shall be met during the 72-hour soak test: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Threshold</w:t>
            </w:r>
          </w:p>
        </w:tc>
        <w:tc>
          <w:tcPr>
            <w:tcW w:type="dxa" w:w="3120"/>
          </w:tcPr>
          <w:p>
            <w:r>
              <w:rPr>
                <w:b/>
              </w:rPr>
              <w:t>Measurement method</w:t>
            </w:r>
          </w:p>
        </w:tc>
      </w:tr>
      <w:tr>
        <w:tc>
          <w:tcPr>
            <w:tcW w:type="dxa" w:w="3120"/>
          </w:tcPr>
          <w:p>
            <w:r>
              <w:t>Cell availability</w:t>
            </w:r>
          </w:p>
        </w:tc>
        <w:tc>
          <w:tcPr>
            <w:tcW w:type="dxa" w:w="3120"/>
          </w:tcPr>
          <w:p>
            <w:r>
              <w:t>≥ 99.95%</w:t>
            </w:r>
          </w:p>
        </w:tc>
        <w:tc>
          <w:tcPr>
            <w:tcW w:type="dxa" w:w="3120"/>
          </w:tcPr>
          <w:p>
            <w:r>
              <w:t>PM counters, 5-min granularity</w:t>
            </w:r>
          </w:p>
        </w:tc>
      </w:tr>
      <w:tr>
        <w:tc>
          <w:tcPr>
            <w:tcW w:type="dxa" w:w="3120"/>
          </w:tcPr>
          <w:p>
            <w:r>
              <w:t>Initial attach success rate</w:t>
            </w:r>
          </w:p>
        </w:tc>
        <w:tc>
          <w:tcPr>
            <w:tcW w:type="dxa" w:w="3120"/>
          </w:tcPr>
          <w:p>
            <w:r>
              <w:t>≥ 99.5%</w:t>
            </w:r>
          </w:p>
        </w:tc>
        <w:tc>
          <w:tcPr>
            <w:tcW w:type="dxa" w:w="3120"/>
          </w:tcPr>
          <w:p>
            <w:r>
              <w:t>PM counters, 1-min granularity</w:t>
            </w:r>
          </w:p>
        </w:tc>
      </w:tr>
      <w:tr>
        <w:tc>
          <w:tcPr>
            <w:tcW w:type="dxa" w:w="3120"/>
          </w:tcPr>
          <w:p>
            <w:r>
              <w:t>Connected-mode handover success rate</w:t>
            </w:r>
          </w:p>
        </w:tc>
        <w:tc>
          <w:tcPr>
            <w:tcW w:type="dxa" w:w="3120"/>
          </w:tcPr>
          <w:p>
            <w:r>
              <w:t>≥ 99.5%</w:t>
            </w:r>
          </w:p>
        </w:tc>
        <w:tc>
          <w:tcPr>
            <w:tcW w:type="dxa" w:w="3120"/>
          </w:tcPr>
          <w:p>
            <w:r>
              <w:t>PM counters, per-event</w:t>
            </w:r>
          </w:p>
        </w:tc>
      </w:tr>
      <w:tr>
        <w:tc>
          <w:tcPr>
            <w:tcW w:type="dxa" w:w="3120"/>
          </w:tcPr>
          <w:p>
            <w:r>
              <w:t>Packet drop rate (uplink)</w:t>
            </w:r>
          </w:p>
        </w:tc>
        <w:tc>
          <w:tcPr>
            <w:tcW w:type="dxa" w:w="3120"/>
          </w:tcPr>
          <w:p>
            <w:r>
              <w:t>≤ 0.1%</w:t>
            </w:r>
          </w:p>
        </w:tc>
        <w:tc>
          <w:tcPr>
            <w:tcW w:type="dxa" w:w="3120"/>
          </w:tcPr>
          <w:p>
            <w:r>
              <w:t>PM counters, 5-min granularity</w:t>
            </w:r>
          </w:p>
        </w:tc>
      </w:tr>
      <w:tr>
        <w:tc>
          <w:tcPr>
            <w:tcW w:type="dxa" w:w="3120"/>
          </w:tcPr>
          <w:p>
            <w:r>
              <w:t>Packet drop rate (downlink)</w:t>
            </w:r>
          </w:p>
        </w:tc>
        <w:tc>
          <w:tcPr>
            <w:tcW w:type="dxa" w:w="3120"/>
          </w:tcPr>
          <w:p>
            <w:r>
              <w:t>≤ 0.1%</w:t>
            </w:r>
          </w:p>
        </w:tc>
        <w:tc>
          <w:tcPr>
            <w:tcW w:type="dxa" w:w="3120"/>
          </w:tcPr>
          <w:p>
            <w:r>
              <w:t>PM counters, 5-min granularity</w:t>
            </w:r>
          </w:p>
        </w:tc>
      </w:tr>
      <w:tr>
        <w:tc>
          <w:tcPr>
            <w:tcW w:type="dxa" w:w="3120"/>
          </w:tcPr>
          <w:p>
            <w:r>
              <w:t>Mean DL throughput at 30 km/h, full buffer</w:t>
            </w:r>
          </w:p>
        </w:tc>
        <w:tc>
          <w:tcPr>
            <w:tcW w:type="dxa" w:w="3120"/>
          </w:tcPr>
          <w:p>
            <w:r>
              <w:t>≥ 350 Mbps</w:t>
            </w:r>
          </w:p>
        </w:tc>
        <w:tc>
          <w:tcPr>
            <w:tcW w:type="dxa" w:w="3120"/>
          </w:tcPr>
          <w:p>
            <w:r>
              <w:t>Drive test</w:t>
            </w:r>
          </w:p>
        </w:tc>
      </w:tr>
      <w:tr>
        <w:tc>
          <w:tcPr>
            <w:tcW w:type="dxa" w:w="3120"/>
          </w:tcPr>
          <w:p>
            <w:r>
              <w:t>Mean DL throughput at 100 km/h, full buffer</w:t>
            </w:r>
          </w:p>
        </w:tc>
        <w:tc>
          <w:tcPr>
            <w:tcW w:type="dxa" w:w="3120"/>
          </w:tcPr>
          <w:p>
            <w:r>
              <w:t>≥ 220 Mbps</w:t>
            </w:r>
          </w:p>
        </w:tc>
        <w:tc>
          <w:tcPr>
            <w:tcW w:type="dxa" w:w="3120"/>
          </w:tcPr>
          <w:p>
            <w:r>
              <w:t>Drive test</w:t>
            </w:r>
          </w:p>
        </w:tc>
      </w:tr>
      <w:tr>
        <w:tc>
          <w:tcPr>
            <w:tcW w:type="dxa" w:w="3120"/>
          </w:tcPr>
          <w:p>
            <w:r>
              <w:t>Mean DL latency at quiet cell, 64-byte ping</w:t>
            </w:r>
          </w:p>
        </w:tc>
        <w:tc>
          <w:tcPr>
            <w:tcW w:type="dxa" w:w="3120"/>
          </w:tcPr>
          <w:p>
            <w:r>
              <w:t>≤ 8 ms</w:t>
            </w:r>
          </w:p>
        </w:tc>
        <w:tc>
          <w:tcPr>
            <w:tcW w:type="dxa" w:w="3120"/>
          </w:tcPr>
          <w:p>
            <w:r>
              <w:t>Test UE, 1000 samples</w:t>
            </w:r>
          </w:p>
        </w:tc>
      </w:tr>
      <w:tr>
        <w:tc>
          <w:tcPr>
            <w:tcW w:type="dxa" w:w="3120"/>
          </w:tcPr>
          <w:p>
            <w:r>
              <w:t>Power consumption per radio unit, idle</w:t>
            </w:r>
          </w:p>
        </w:tc>
        <w:tc>
          <w:tcPr>
            <w:tcW w:type="dxa" w:w="3120"/>
          </w:tcPr>
          <w:p>
            <w:r>
              <w:t>≤ 280 W</w:t>
            </w:r>
          </w:p>
        </w:tc>
        <w:tc>
          <w:tcPr>
            <w:tcW w:type="dxa" w:w="3120"/>
          </w:tcPr>
          <w:p>
            <w:r>
              <w:t>DC power meter, 1-hour average</w:t>
            </w:r>
          </w:p>
        </w:tc>
      </w:tr>
      <w:tr>
        <w:tc>
          <w:tcPr>
            <w:tcW w:type="dxa" w:w="3120"/>
          </w:tcPr>
          <w:p>
            <w:r>
              <w:t>Power consumption per radio unit, 50% load</w:t>
            </w:r>
          </w:p>
        </w:tc>
        <w:tc>
          <w:tcPr>
            <w:tcW w:type="dxa" w:w="3120"/>
          </w:tcPr>
          <w:p>
            <w:r>
              <w:t>≤ 1,150 W</w:t>
            </w:r>
          </w:p>
        </w:tc>
        <w:tc>
          <w:tcPr>
            <w:tcW w:type="dxa" w:w="3120"/>
          </w:tcPr>
          <w:p>
            <w:r>
              <w:t>DC power meter, 1-hour average</w:t>
            </w:r>
          </w:p>
        </w:tc>
      </w:tr>
    </w:tbl>
    <w:p>
      <w:pPr>
        <w:pStyle w:val="Heading1"/>
      </w:pPr>
      <w:r>
        <w:t>7. Pass/fail criteria and remediation</w:t>
      </w:r>
    </w:p>
    <w:p>
      <w:r>
        <w:t>A unit shall be deemed to have passed acceptance testing only if it meets all criteria in sections 2 through 6. Failure of any single criterion shall result in the unit being held in the Tachyon laboratory pending remediation. Remediation options are: (a) firmware reload and retest, (b) hardware adjustment and retest, (c) replacement at Tachyon's cost with a different unit from the same shipment. Remediation must complete within 14 calendar days of the initial failure; failing that, the unit shall be returned to the Tachyon factory for full diagnosis.</w:t>
      </w:r>
    </w:p>
    <w:p>
      <w:pPr>
        <w:pStyle w:val="Heading1"/>
      </w:pPr>
      <w:r>
        <w:t>8. Witnessing and sign-off</w:t>
      </w:r>
    </w:p>
    <w:p>
      <w:r>
        <w:t>Each test shall be witnessed by the TelcoNG NetPlan RF Engineer (Chinwe Eze or her designated alternate) and by the Tachyon Test Authority (Ola Adeyemo or his designated alternate). Test reports shall be signed by both parties within 48 hours of test completion. Disputes shall be escalated to Tunde Bello (5G Pilot Lead Engineer, TelcoNG) and to a senior Tachyon engineering manager nominated by Tachyon for resolution.</w:t>
      </w:r>
    </w:p>
    <w:p>
      <w:pPr>
        <w:pStyle w:val="Heading1"/>
      </w:pPr>
      <w:r>
        <w:t>9. Version history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Date</w:t>
            </w:r>
          </w:p>
        </w:tc>
        <w:tc>
          <w:tcPr>
            <w:tcW w:type="dxa" w:w="3120"/>
          </w:tcPr>
          <w:p>
            <w:r>
              <w:rPr>
                <w:b/>
              </w:rPr>
              <w:t>Summary</w:t>
            </w:r>
          </w:p>
        </w:tc>
      </w:tr>
      <w:tr>
        <w:tc>
          <w:tcPr>
            <w:tcW w:type="dxa" w:w="3120"/>
          </w:tcPr>
          <w:p>
            <w:r>
              <w:t>v1</w:t>
            </w:r>
          </w:p>
        </w:tc>
        <w:tc>
          <w:tcPr>
            <w:tcW w:type="dxa" w:w="3120"/>
          </w:tcPr>
          <w:p>
            <w:r>
              <w:t>2026-08-30</w:t>
            </w:r>
          </w:p>
        </w:tc>
        <w:tc>
          <w:tcPr>
            <w:tcW w:type="dxa" w:w="3120"/>
          </w:tcPr>
          <w:p>
            <w:r>
              <w:t>Initial draft based on standard Tachyon acceptance template</w:t>
            </w:r>
          </w:p>
        </w:tc>
      </w:tr>
      <w:tr>
        <w:tc>
          <w:tcPr>
            <w:tcW w:type="dxa" w:w="3120"/>
          </w:tcPr>
          <w:p>
            <w:r>
              <w:t>v2</w:t>
            </w:r>
          </w:p>
        </w:tc>
        <w:tc>
          <w:tcPr>
            <w:tcW w:type="dxa" w:w="3120"/>
          </w:tcPr>
          <w:p>
            <w:r>
              <w:t>2026-09-12</w:t>
            </w:r>
          </w:p>
        </w:tc>
        <w:tc>
          <w:tcPr>
            <w:tcW w:type="dxa" w:w="3120"/>
          </w:tcPr>
          <w:p>
            <w:r>
              <w:t>Added KPI thresholds; added handover test suite</w:t>
            </w:r>
          </w:p>
        </w:tc>
      </w:tr>
      <w:tr>
        <w:tc>
          <w:tcPr>
            <w:tcW w:type="dxa" w:w="3120"/>
          </w:tcPr>
          <w:p>
            <w:r>
              <w:t>v3</w:t>
            </w:r>
          </w:p>
        </w:tc>
        <w:tc>
          <w:tcPr>
            <w:tcW w:type="dxa" w:w="3120"/>
          </w:tcPr>
          <w:p>
            <w:r>
              <w:t>2026-09-28</w:t>
            </w:r>
          </w:p>
        </w:tc>
        <w:tc>
          <w:tcPr>
            <w:tcW w:type="dxa" w:w="3120"/>
          </w:tcPr>
          <w:p>
            <w:r>
              <w:t>Locked for Abuja CBD pilot; aligned with NCC technical standards as of 2026-Q3; added EMF compliance criteria per ICNIRP 1998</w:t>
            </w:r>
          </w:p>
        </w:tc>
      </w:tr>
    </w:tbl>
    <w:p/>
    <w:p>
      <w:r>
        <w:t>End of Acceptance Test Plan v3. Linked jira ticket: FCBD-101. Linked confluence page: pg_vendor_acceptance_test. For queries contact Tunde Bello at t.bello@telecorpng.com.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