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rPr>
        <w:t>Massive MIMO Deployment in Rural Coverage Contexts: Lessons from Nasarawa</w:t>
      </w:r>
    </w:p>
    <w:p>
      <w:r>
        <w:rPr>
          <w:i/>
        </w:rPr>
        <w:t>Author: Yetunde Bakare, Junior Network Engineer, TelcoNG NetPlan</w:t>
        <w:br/>
      </w:r>
      <w:r>
        <w:rPr>
          <w:i/>
        </w:rPr>
        <w:t>Track: Nigeria ComTech Summit Dec 1-2, 2026 - Rural Coverage and Inclusion</w:t>
        <w:br/>
      </w:r>
      <w:r>
        <w:rPr>
          <w:i/>
        </w:rPr>
        <w:t>Submission deadline: Oct 12, 2026 | Draft v3 (post-Sheila Sep 22 review)</w:t>
        <w:br/>
      </w:r>
    </w:p>
    <w:p>
      <w:pPr>
        <w:pStyle w:val="Heading1"/>
      </w:pPr>
      <w:r>
        <w:t>Abstract</w:t>
      </w:r>
    </w:p>
    <w:p>
      <w:r>
        <w:t>Massive MIMO (mMIMO) deployment patterns developed for urban densification do not transfer cleanly to rural coverage. This paper reports on the design, deployment, and early operational experience of a 45-site mMIMO 4G expansion in Nasarawa State, Nigeria, undertaken by TelcoNG NetPlan during 2025-2026. We document four design departures from urban best-practice that the rural context demanded, present preliminary KPI evidence from the 32 sites currently live (of 45 total), and discuss the implications for rural mMIMO deployment more generally.</w:t>
      </w:r>
    </w:p>
    <w:p>
      <w:pPr>
        <w:pStyle w:val="Heading1"/>
      </w:pPr>
      <w:r>
        <w:t>1. Background</w:t>
      </w:r>
    </w:p>
    <w:p>
      <w:r>
        <w:t>Rural coverage is the unfinished business of Nigerian mobile telecommunications. National subscriber penetration exceeds 95% but rural coverage gaps remain significant, particularly in the North-Central states where settlement patterns are dispersed and traditional cell site densification is not commercially viable. mMIMO with beamforming offers a path to covering dispersed settlements from a smaller number of sites, but the design patterns are underdeveloped relative to urban scenarios. This paper contributes to closing that gap, drawing on the Nasarawa Phase 1 deployment as a case study.</w:t>
      </w:r>
    </w:p>
    <w:p>
      <w:pPr>
        <w:pStyle w:val="Heading1"/>
      </w:pPr>
      <w:r>
        <w:t>2. The Nasarawa Phase 1 deployment</w:t>
      </w:r>
    </w:p>
    <w:p>
      <w:r>
        <w:t>TelcoNG NetPlan deployed mMIMO 4G at 45 sites across 5 LGAs of Nasarawa State during the 2025-2026 period, with Phase 1 (15 sites) targeting October 2026 and Phase 2 (30 sites) targeting December 2026. The deployment used Tachyon Networks 64TR ed.2 antennas at 2600 MHz, with inter-site distances ranging from 4.8 km in the denser ward centres to 12.3 km in the outer settlements. The deployment serves an addressable population of approximately 287,000 across the 45 sites.</w:t>
      </w:r>
    </w:p>
    <w:p>
      <w:pPr>
        <w:pStyle w:val="Heading1"/>
      </w:pPr>
      <w:r>
        <w:t>3. Four design departures from urban best-practice</w:t>
      </w:r>
    </w:p>
    <w:p>
      <w:r>
        <w:t>Departure 1: Inter-site distance optimisation. Urban best practice optimises inter-site distance for capacity at the cell edge; the rural design optimises for the addressable population per site, accepting wider inter-site distances even at the cost of cell-edge capacity per user. The mMIMO beamforming gain partially compensates for the wider spacing.</w:t>
      </w:r>
    </w:p>
    <w:p>
      <w:r>
        <w:t>Departure 2: Beam codebook customisation. The standard Tachyon beam codebook is calibrated for urban deployment with the beam centroid at 30 degrees below horizontal. For Nasarawa the codebook was re-calibrated with the beam centroid at 8-15 degrees, reflecting the lower antenna heights (typically 35-40 metres on the rural sites versus 50-60 metres on urban rooftops) and the longer-range coverage requirement.</w:t>
      </w:r>
    </w:p>
    <w:p>
      <w:r>
        <w:t>Departure 3: Power management profile. Rural sites face longer power-cut episodes than urban ones, often 4-8 hours per day during peak rainy season. The Nasarawa deployment uses a more aggressive power-management profile, including dynamic transmit-power reduction during low-load periods and selective sleep of unused MIMO chains. This extends battery autonomy from a typical 4 hours to 8-10 hours.</w:t>
      </w:r>
    </w:p>
    <w:p>
      <w:r>
        <w:t>Departure 4: Community engagement timeline. Rural site acquisition is dominated by traditional-authority engagement and lease negotiation rather than by physical site identification. The Nasarawa cycle averages 120 days from site identification to lease execution, against an urban benchmark of 75 days. This has direct implications for deployment programme sequencing and for the relative weighting of engineering versus community-relations staffing.</w:t>
      </w:r>
    </w:p>
    <w:p>
      <w:pPr>
        <w:pStyle w:val="Heading1"/>
      </w:pPr>
      <w:r>
        <w:t>4. Preliminary KPI evidence</w:t>
      </w:r>
    </w:p>
    <w:p>
      <w:r>
        <w:t>Of the 32 sites currently live (33 as of paper finalisation, including NSW-PHASE1-S07 acquired overnight 2026-10-03), the 4-week rolling KPIs indicate: median DL throughput at coverage edge of 14 Mbps (urban benchmark 22 Mbps); call drop rate 0.6% (urban benchmark 0.4%); handover success rate 99.1% (urban benchmark 99.5%); cell availability 99.94% (urban benchmark 99.95%). The throughput and call-drop deficits are within the design envelope and reflect the wider inter-site distances. The availability is within 0.01 percentage points of the urban benchmark despite the harsher power environment.</w:t>
      </w:r>
    </w:p>
    <w:p>
      <w:pPr>
        <w:pStyle w:val="Heading1"/>
      </w:pPr>
      <w:r>
        <w:t>5. Implications</w:t>
      </w:r>
    </w:p>
    <w:p>
      <w:r>
        <w:t>The Nasarawa experience suggests that mMIMO is technically and commercially viable in rural Nigerian deployments provided the four design departures above are accepted. The principal operational risk is in community engagement; the technical risk profile is well-bounded. Operators considering rural mMIMO deployments should budget for the longer engagement timeline and for the additional community-relations staffing that supports it. The paper concludes with recommendations for further research, including a forward look at 5G mMIMO in rural contexts using the 3.5 GHz band, building on the Abuja CBD 5G pilot that TelcoNG NetPlan is currently progressing.</w:t>
      </w:r>
    </w:p>
    <w:p/>
    <w:p>
      <w:r>
        <w:rPr>
          <w:b/>
        </w:rPr>
        <w:t xml:space="preserve">Word count: </w:t>
      </w:r>
      <w:r>
        <w:t>approximately 820 words. Within the 800-1000 word ComTech abstract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