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Algemene voorwaarden Houtwerkplaats Cox</w:t>
      </w:r>
    </w:p>
    <w:p>
      <w:r>
        <w:t>Artikel 1. Offertes zijn 30 dagen geldig.</w:t>
      </w:r>
    </w:p>
    <w:p>
      <w:r>
        <w:t>Artikel 2. Aanbetaling bij opdracht, restant bij oplevering.</w:t>
      </w:r>
    </w:p>
    <w:p>
      <w:r>
        <w:t>Artikel 3. Levertijden zijn indicatief.</w:t>
      </w:r>
    </w:p>
    <w:p>
      <w:r>
        <w:t>Artikel 4. Garantie op constructie 2 jaar.</w:t>
      </w:r>
    </w:p>
    <w:p>
      <w:r>
        <w:t>Artikel 5. Op alle opdrachten is Nederlands recht van toepassing.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