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bidi/>
        <w:spacing w:before="0" w:after="240" w:line="288" w:lineRule="auto"/>
        <w:jc w:val="right"/>
      </w:pPr>
      <w:r>
        <w:rPr>
          <w:rFonts w:ascii="Segoe UI" w:hAnsi="Segoe UI" w:cs="Segoe UI"/>
          <w:b/>
          <w:bCs/>
          <w:color w:val="0F1523"/>
          <w:sz w:val="52"/>
          <w:szCs w:val="52"/>
          <w:rtl/>
        </w:rPr>
        <w:t xml:space="preserve">التحويلات بين الصناديق — محضر قرارات</w:t>
      </w:r>
    </w:p>
    <w:p>
      <w:pPr>
        <w:bidi/>
        <w:pBdr>
          <w:right w:val="single" w:sz="18" w:space="10" w:color="1B4B7A"/>
        </w:pBdr>
        <w:ind w:left="240" w:right="0"/>
        <w:spacing w:before="0" w:after="200" w:line="288" w:lineRule="auto"/>
        <w:jc w:val="both"/>
      </w:pPr>
      <w:r>
        <w:rPr>
          <w:rFonts w:ascii="Segoe UI" w:hAnsi="Segoe UI" w:cs="Segoe UI"/>
          <w:color w:val="5B6579"/>
          <w:sz w:val="20"/>
          <w:szCs w:val="20"/>
          <w:rtl/>
        </w:rPr>
        <w:t xml:space="preserve">نتيجة جلسة سؤال وجواب كاملة. ما في هذا الملف </w:t>
      </w:r>
      <w:r>
        <w:rPr>
          <w:rFonts w:ascii="Segoe UI" w:hAnsi="Segoe UI" w:cs="Segoe UI"/>
          <w:b/>
          <w:bCs/>
          <w:color w:val="5B6579"/>
          <w:sz w:val="20"/>
          <w:szCs w:val="20"/>
          <w:rtl/>
        </w:rPr>
        <w:t xml:space="preserve">قرارات مُتَّخذة</w:t>
      </w:r>
      <w:r>
        <w:rPr>
          <w:rFonts w:ascii="Segoe UI" w:hAnsi="Segoe UI" w:cs="Segoe UI"/>
          <w:color w:val="5B6579"/>
          <w:sz w:val="20"/>
          <w:szCs w:val="20"/>
          <w:rtl/>
        </w:rPr>
        <w:t xml:space="preserve">، لا اقتراحات. آخر تحديث: ٢٥ آب ٢٠٢٦ — </w:t>
      </w:r>
      <w:r>
        <w:rPr>
          <w:rFonts w:ascii="Segoe UI" w:hAnsi="Segoe UI" w:cs="Segoe UI"/>
          <w:b/>
          <w:bCs/>
          <w:color w:val="5B6579"/>
          <w:sz w:val="20"/>
          <w:szCs w:val="20"/>
          <w:rtl/>
        </w:rPr>
        <w:t xml:space="preserve">الإصدار الثالث</w:t>
      </w:r>
      <w:r>
        <w:rPr>
          <w:rFonts w:ascii="Segoe UI" w:hAnsi="Segoe UI" w:cs="Segoe UI"/>
          <w:color w:val="5B6579"/>
          <w:sz w:val="20"/>
          <w:szCs w:val="20"/>
          <w:rtl/>
        </w:rPr>
        <w:t xml:space="preserve">: الميزتان الأوليان </w:t>
      </w:r>
      <w:r>
        <w:rPr>
          <w:rFonts w:ascii="Segoe UI" w:hAnsi="Segoe UI" w:cs="Segoe UI"/>
          <w:b/>
          <w:bCs/>
          <w:color w:val="5B6579"/>
          <w:sz w:val="20"/>
          <w:szCs w:val="20"/>
          <w:rtl/>
        </w:rPr>
        <w:t xml:space="preserve">بُنيتا</w:t>
      </w:r>
      <w:r>
        <w:rPr>
          <w:rFonts w:ascii="Segoe UI" w:hAnsi="Segoe UI" w:cs="Segoe UI"/>
          <w:color w:val="5B6579"/>
          <w:sz w:val="20"/>
          <w:szCs w:val="20"/>
          <w:rtl/>
        </w:rPr>
        <w:t xml:space="preserve">، وسقط سجل الشركاء بعد تصحيحٍ من صاحب العمل.</w:t>
      </w: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١. حالة التنفيذ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468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w="468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الأولى — ضبط الصناديق</w:t>
            </w:r>
          </w:p>
        </w:tc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مبنيّة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ومتحقَّق منها</w:t>
            </w:r>
          </w:p>
        </w:tc>
      </w:tr>
      <w:tr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الثانية — التحويلات</w:t>
            </w:r>
          </w:p>
        </w:tc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✅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مبنيّة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ومتحقَّق منها</w:t>
            </w:r>
          </w:p>
        </w:tc>
      </w:tr>
      <w:tr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الثالثة — رأس مال الشركاء</w:t>
            </w:r>
          </w:p>
        </w:tc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❌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سقطت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— لا وجود لها في هذه الشركة</w:t>
            </w:r>
          </w:p>
        </w:tc>
      </w:tr>
      <w:tr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المتبقّي — قياس الربح المسحوب</w:t>
            </w:r>
          </w:p>
        </w:tc>
        <w:tc>
          <w:tcPr>
            <w:tcW w:w="468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⏳ لم يُقرَّر بعد</w:t>
            </w:r>
          </w:p>
        </w:tc>
      </w:tr>
    </w:tbl>
    <w:p>
      <w:pPr>
        <w:bidi/>
        <w:spacing w:before="0" w:after="160" w:line="288" w:lineRule="auto"/>
        <w:jc w:val="both"/>
      </w:pP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٢. القرارات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القرار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من يستعملها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المدير، وتلر يفوّضه المدير في صناديق يختارها بنفسه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أين تعيش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شاشة مستقلة «التحويلات»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، فيها عمودا «من» و«إلى»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٣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المال بين اللحظتين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خانة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«وصل فوراً؟»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— الافتراضي «في الطريق»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٤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علاقتها بالأرباح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العمولة داخل التحويل، والباقي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سقط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— انظر القسم ٤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٥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أرصدة الوسطاء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تعمل اليوم —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مغلق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٦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الترتيب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الصلاحيات، ثم التحويلات —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نُفِّذ بهذا الترتيب</w:t>
            </w:r>
          </w:p>
        </w:tc>
      </w:tr>
    </w:tbl>
    <w:p>
      <w:pPr>
        <w:bidi/>
        <w:spacing w:before="0" w:after="160" w:line="288" w:lineRule="auto"/>
        <w:jc w:val="both"/>
      </w:pPr>
    </w:p>
    <w:p>
      <w:pPr>
        <w:keepNext/>
        <w:bidi/>
        <w:spacing w:before="280" w:after="120" w:line="288" w:lineRule="auto"/>
        <w:jc w:val="both"/>
      </w:pPr>
      <w:r>
        <w:rPr>
          <w:rFonts w:ascii="Segoe UI" w:hAnsi="Segoe UI" w:cs="Segoe UI"/>
          <w:b/>
          <w:bCs/>
          <w:color w:val="1B4B7A"/>
          <w:sz w:val="28"/>
          <w:szCs w:val="28"/>
          <w:rtl/>
        </w:rPr>
        <w:t xml:space="preserve">التفويض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القرار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٧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ماذا يفعل التلر المفوَّض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ينقل فقط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، ولا يرى إلا الصناديق المفوَّض فيها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٨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هل يحتاج موافقة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فوق مبلغ يحدّده المدير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— ودونه ينفّذ مباشرة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٩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من يؤكّد الوصول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المدير وحده.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التلر يرسل، والمدير يؤكّد بعد رؤية الصورة</w:t>
            </w:r>
          </w:p>
        </w:tc>
      </w:tr>
    </w:tbl>
    <w:p>
      <w:pPr>
        <w:bidi/>
        <w:spacing w:before="0" w:after="160" w:line="288" w:lineRule="auto"/>
        <w:jc w:val="both"/>
      </w:pPr>
    </w:p>
    <w:p>
      <w:pPr>
        <w:keepNext/>
        <w:bidi/>
        <w:spacing w:before="280" w:after="120" w:line="288" w:lineRule="auto"/>
        <w:jc w:val="both"/>
      </w:pPr>
      <w:r>
        <w:rPr>
          <w:rFonts w:ascii="Segoe UI" w:hAnsi="Segoe UI" w:cs="Segoe UI"/>
          <w:b/>
          <w:bCs/>
          <w:color w:val="1B4B7A"/>
          <w:sz w:val="28"/>
          <w:szCs w:val="28"/>
          <w:rtl/>
        </w:rPr>
        <w:t xml:space="preserve">تفاصيل التشغيل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القرار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١٠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الفلاتر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التاريخ، الصندوق، نوع الحركة، المبلغ، الحالة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الكشف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لكل صندوق، برصيد افتتاحي وختامي، مع تصدير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١٢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الإلغاء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داخل اليوم فقط. وبعد الإقفال بقيد عكسي مؤرَّخ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١٣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«في الطريق»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صندوقٌ حقيقي، يُعدّ ولا يُصرف منه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١٤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التنبيه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بعد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يومين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من وقوف التحويل، مع قائمة دائمة بالمعلّق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١٥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العمولة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نسبة</w:t>
            </w: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 مضبوطة في الحساب، تُحسب لحظة التحويل وتُسجَّل </w:t>
            </w: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مصروفاً</w:t>
            </w:r>
          </w:p>
        </w:tc>
      </w:tr>
    </w:tbl>
    <w:p>
      <w:pPr>
        <w:bidi/>
        <w:spacing w:before="0" w:after="160" w:line="288" w:lineRule="auto"/>
        <w:jc w:val="both"/>
      </w:pP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٣. تصحيحان من صاحب العمل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الأول — الأسماء في الورقة ليست شركاء.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color w:val="0F1523"/>
          <w:sz w:val="22"/>
          <w:szCs w:val="22"/>
          <w:rtl/>
        </w:rPr>
        <w:t xml:space="preserve">برغوث، أبو الأعور، عكاشة، أبو ياسر: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ينفّذون تسليمات بنكية للشركة، ولا شأن لهم بملكيتها.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كنتُ قرأت «حسابات الأفراد ملّاك الشركة» فاستنتجتُ أن حسابات الشركاء داخل شبكة الوسطاء، وبنيتُ على ذلك تحذيراً كاملاً. الاستنتاج كان خاطئاً.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ولم يتأثر ما بُني: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هؤلاء هم «الحساب» في نافذة التحويل، وأصحاب النسبة التي تُضبط مرة واحدة وتُحسب تلقائياً. وهذا مبنيٌّ على وصفٍ مباشر لا على الاستنتاج الخاطئ.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الثاني — لا فصل بين الشركاء والشركة.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color w:val="0F1523"/>
          <w:sz w:val="22"/>
          <w:szCs w:val="22"/>
          <w:rtl/>
        </w:rPr>
        <w:t xml:space="preserve">لا حاجة لسجلٍّ يقول كم لكلٍّ منهم. فسقط سجل الشركاء، وسقط معه جوابا ت٢ وت٣ — كانا عن توزيعٍ بين شركاء لا وجود له هنا.</w:t>
      </w: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٤. ما بقي من الميزة الثالثة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color w:val="0F1523"/>
          <w:sz w:val="22"/>
          <w:szCs w:val="22"/>
          <w:rtl/>
        </w:rPr>
        <w:t xml:space="preserve">شيءٌ واحد، وهو مستقلّ عن الشركاء تماماً:</w:t>
      </w:r>
    </w:p>
    <w:p>
      <w:pPr>
        <w:bidi/>
        <w:pBdr>
          <w:right w:val="single" w:sz="18" w:space="10" w:color="1B4B7A"/>
        </w:pBdr>
        <w:ind w:left="240" w:right="0"/>
        <w:spacing w:before="0" w:after="200" w:line="288" w:lineRule="auto"/>
        <w:jc w:val="both"/>
      </w:pPr>
      <w:r>
        <w:rPr>
          <w:rFonts w:ascii="Segoe UI" w:hAnsi="Segoe UI" w:cs="Segoe UI"/>
          <w:b/>
          <w:bCs/>
          <w:color w:val="5B6579"/>
          <w:sz w:val="20"/>
          <w:szCs w:val="20"/>
          <w:rtl/>
        </w:rPr>
        <w:t xml:space="preserve">أن تعرض لك الشاشة ربح الفترة، وكم سحبتَ منه بالفعل.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color w:val="0F1523"/>
          <w:sz w:val="22"/>
          <w:szCs w:val="22"/>
          <w:rtl/>
        </w:rPr>
        <w:t xml:space="preserve">اليوم تقول الشاشة: ربح الشهر ١٢٬٠٠٠. تسحب منه ٦٬٠٠٠ لنفسك.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الرقم يبقى ١٢٬٠٠٠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— لأن سحب المالك ليس خسارة ولا يُخصم من الربح. فيمكن أن تسحب من ربحٍ سحبتَه مرة.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color w:val="0F1523"/>
          <w:sz w:val="22"/>
          <w:szCs w:val="22"/>
          <w:rtl/>
        </w:rPr>
        <w:t xml:space="preserve">السحب نفسه يعمل اليوم ويُسجَّل صحيحاً. الناقص أن يُطرح المسحوب من المعروض، فتعرف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كم بقي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لم يُقرَّر بعد.</w:t>
      </w: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٥. أربعة اكتشافات من الجلسة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١. «نقل بين الصناديق» كان موجوداً في البرنامج كاسم فقط.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يظهر في قائمة أسباب الحركة اليدوية، فتختاره ويتحرك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صندوق واحد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. حُذف من تلك القائمة، فصار للنقل بابٌ واحد لا يكذب.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٢. البرنامج لا يعرف أن عليه ديناً لأحد.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كل صناديقه أشياء يملكها المكتب أو له عند غيره.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يبقى قائماً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، لكنه بلا أثر عملي الآن بعد سقوط الشركاء.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٣. الربح يبقى ظاهراً بعد أن يُسحب.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هو ما تبقّى في القسم ٤.</w:t>
      </w:r>
    </w:p>
    <w:p>
      <w:pPr>
        <w:bidi/>
        <w:spacing w:before="0" w:after="1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٤. رقم الوسيط الذي تراه هو صافي آخر ثلاثين يوماً، لا رصيداً تراكمياً.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 يطابق الواقع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لأن التسوية تحدث داخل الشهر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. فإن بقي رصيدٌ عند أحدهم أطول من ذلك، يتوقّف عن المطابقة </w:t>
      </w:r>
      <w:r>
        <w:rPr>
          <w:rFonts w:ascii="Segoe UI" w:hAnsi="Segoe UI" w:cs="Segoe UI"/>
          <w:b/>
          <w:bCs/>
          <w:color w:val="0F1523"/>
          <w:sz w:val="22"/>
          <w:szCs w:val="22"/>
          <w:rtl/>
        </w:rPr>
        <w:t xml:space="preserve">بصمت</w:t>
      </w:r>
      <w:r>
        <w:rPr>
          <w:rFonts w:ascii="Segoe UI" w:hAnsi="Segoe UI" w:cs="Segoe UI"/>
          <w:color w:val="0F1523"/>
          <w:sz w:val="22"/>
          <w:szCs w:val="22"/>
          <w:rtl/>
        </w:rPr>
        <w:t xml:space="preserve">.</w:t>
      </w: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٦. ما يحتاج ضبطاً قبل التشغيل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الإعداد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لماذا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المبلغ الذي تلزم فوقه موافقة المدير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فارغ الآن، أي لا سقف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5B6579"/>
                <w:sz w:val="20"/>
                <w:szCs w:val="20"/>
                <w:rtl/>
              </w:rPr>
              <w:t xml:space="preserve">نِسَب العمولة لكل حساب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بصيغة </w:t>
            </w:r>
            <w:r>
              <w:rPr>
                <w:rFonts w:ascii="Consolas" w:hAnsi="Consolas" w:cs="Consolas"/>
                <w:color w:val="1B4B7A"/>
                <w:sz w:val="18"/>
                <w:szCs w:val="18"/>
                <w:shd w:val="clear" w:fill="F1F4F9"/>
              </w:rPr>
              <w:t xml:space="preserve">عكاشة:0.5,برغوث:0.25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٣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أيام وقوف التحويل قبل التنبيه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مضبوط على يومين</w:t>
            </w:r>
          </w:p>
        </w:tc>
      </w:tr>
    </w:tbl>
    <w:p>
      <w:pPr>
        <w:bidi/>
        <w:spacing w:before="0" w:after="160" w:line="288" w:lineRule="auto"/>
        <w:jc w:val="both"/>
      </w:pPr>
    </w:p>
    <w:p>
      <w:pPr>
        <w:bidi/>
        <w:pBdr>
          <w:bottom w:val="single" w:sz="6" w:space="6" w:color="D5DCE9"/>
        </w:pBdr>
        <w:spacing w:before="120" w:after="200" w:line="288" w:lineRule="auto"/>
        <w:jc w:val="both"/>
      </w:pPr>
    </w:p>
    <w:p>
      <w:pPr>
        <w:keepNext/>
        <w:bidi/>
        <w:pBdr>
          <w:bottom w:val="single" w:sz="6" w:space="6" w:color="D5DCE9"/>
        </w:pBdr>
        <w:spacing w:before="400" w:after="60" w:line="288" w:lineRule="auto"/>
        <w:jc w:val="both"/>
      </w:pPr>
      <w:r>
        <w:rPr>
          <w:rFonts w:ascii="Segoe UI" w:hAnsi="Segoe UI" w:cs="Segoe UI"/>
          <w:b/>
          <w:bCs/>
          <w:color w:val="0F1523"/>
          <w:sz w:val="34"/>
          <w:szCs w:val="34"/>
          <w:rtl/>
        </w:rPr>
        <w:t xml:space="preserve">٧. ما بقي مفتوحاً</w:t>
      </w:r>
    </w:p>
    <w:tbl>
      <w:tblPr>
        <w:tblStyle w:val="TableGrid"/>
        <w:tblW w:w="9360" w:type="dxa"/>
        <w:bidiVisual/>
        <w:tblBorders>
          <w:top w:val="single" w:sz="4" w:color="D5DCE9"/>
          <w:bottom w:val="single" w:sz="4" w:color="D5DCE9"/>
          <w:left w:val="single" w:sz="4" w:color="D5DCE9"/>
          <w:right w:val="single" w:sz="4" w:color="D5DCE9"/>
          <w:insideH w:val="single" w:sz="4" w:color="D5DCE9"/>
          <w:insideV w:val="single" w:sz="4" w:color="D5DCE9"/>
        </w:tblBorders>
        <w:tblCellMar>
          <w:top w:w="80" w:type="dxa"/>
          <w:bottom w:w="80" w:type="dxa"/>
          <w:left w:w="120" w:type="dxa"/>
          <w:right w:w="120" w:type="dxa"/>
        </w:tblCellMar>
      </w:tblPr>
      <w:tr>
        <w:trPr>
          <w:tblHeader/>
        </w:trPr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#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السؤال</w:t>
            </w:r>
          </w:p>
        </w:tc>
        <w:tc>
          <w:tcPr>
            <w:tcW w:w="3120" w:type="dxa"/>
            <w:shd w:val="clear" w:fill="EEF2F8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b/>
                <w:bCs/>
                <w:color w:val="0F1523"/>
                <w:sz w:val="20"/>
                <w:szCs w:val="20"/>
                <w:rtl/>
              </w:rPr>
              <w:t xml:space="preserve">متى نحتاجه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١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اسم القناة الأولى في الورقة المكتوبة بخط اليد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عند توسيع سجل الحسابات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٢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معنى «دوار» — هل هو حجم الحركة الشهري؟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إن رُبطت العمولة بالدوران لا بالحركة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٣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هل للشخص الواحد حسابات في أكثر من قناة؟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عند توسيع سجل الحسابات</w:t>
            </w:r>
          </w:p>
        </w:tc>
      </w:tr>
      <w:tr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٤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هل نبني قياس الربح المسحوب؟</w:t>
            </w:r>
          </w:p>
        </w:tc>
        <w:tc>
          <w:tcPr>
            <w:tcW w:w="3120" w:type="dxa"/>
            <w:vAlign w:val="center"/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Segoe UI" w:hAnsi="Segoe UI" w:cs="Segoe UI"/>
                <w:color w:val="5B6579"/>
                <w:sz w:val="20"/>
                <w:szCs w:val="20"/>
                <w:rtl/>
              </w:rPr>
              <w:t xml:space="preserve">القسم ٤</w:t>
            </w:r>
          </w:p>
        </w:tc>
      </w:tr>
    </w:tbl>
    <w:p>
      <w:pPr>
        <w:bidi/>
        <w:spacing w:before="0" w:after="160" w:line="288" w:lineRule="auto"/>
        <w:jc w:val="both"/>
      </w:pPr>
    </w:p>
    <w:sectPr>
      <w:pgSz w:w="11906" w:h="16838"/>
      <w:pgMar w:top="1400" w:right="1300" w:bottom="1400" w:left="1300" w:header="720" w:footer="720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0F1523"/>
        <w:sz w:val="22"/>
        <w:szCs w:val="22"/>
      </w:rPr>
    </w:rPrDefault>
    <w:pPrDefault>
      <w:pPr>
        <w:bidi/>
        <w:jc w:val="both"/>
      </w:pPr>
    </w:pPrDefault>
  </w:docDefaults>
  <w:style w:type="paragraph" w:default="1" w:styleId="Normal">
    <w:name w:val="Normal"/>
    <w:pPr>
      <w:bidi/>
    </w:pPr>
    <w:rPr>
      <w:rFonts w:ascii="Segoe UI" w:hAnsi="Segoe UI" w:cs="Segoe UI"/>
      <w:rtl/>
    </w:rPr>
  </w:style>
  <w:style w:type="table" w:styleId="TableGrid">
    <w:name w:val="Table Grid"/>
    <w:tblPr>
      <w:tblBorders>
        <w:top w:val="single" w:sz="4" w:color="D5DCE9"/>
        <w:bottom w:val="single" w:sz="4" w:color="D5DCE9"/>
        <w:left w:val="single" w:sz="4" w:color="D5DCE9"/>
        <w:right w:val="single" w:sz="4" w:color="D5DCE9"/>
        <w:insideH w:val="single" w:sz="4" w:color="D5DCE9"/>
        <w:insideV w:val="single" w:sz="4" w:color="D5DCE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النقل بين الصناديق — خطة سير العمل والأسئلة</dc:title>
  <dc:language>ar</dc:language>
</cp:coreProperties>
</file>