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spacing w:after="120" w:line="300"/>
        <w:jc w:val="center"/>
      </w:pPr>
      <w:r>
        <w:rPr>
          <w:rFonts w:ascii="Sakkal Majalla" w:cs="Sakkal Majalla" w:eastAsia="Sakkal Majalla" w:hAnsi="Sakkal Majalla"/>
          <w:b/>
          <w:bCs/>
          <w:i w:val="false"/>
          <w:iCs w:val="false"/>
          <w:color w:val="1F3B57"/>
          <w:sz w:val="40"/>
          <w:szCs w:val="40"/>
          <w:rtl/>
        </w:rPr>
        <w:t xml:space="preserve">نظام انترناشونال الموحّد</w:t>
      </w:r>
    </w:p>
    <w:p>
      <w:pPr>
        <w:bidi/>
        <w:spacing w:after="120" w:line="300"/>
        <w:jc w:val="center"/>
      </w:pPr>
      <w:r>
        <w:rPr>
          <w:rFonts w:ascii="Sakkal Majalla" w:cs="Sakkal Majalla" w:eastAsia="Sakkal Majalla" w:hAnsi="Sakkal Majalla"/>
          <w:b/>
          <w:bCs/>
          <w:i w:val="false"/>
          <w:iCs w:val="false"/>
          <w:color w:val="B8860B"/>
          <w:sz w:val="34"/>
          <w:szCs w:val="34"/>
          <w:rtl/>
        </w:rPr>
        <w:t xml:space="preserve">وحدة التحويلات والنقل بين الصناديق والأرصدة</w:t>
      </w:r>
    </w:p>
    <w:p>
      <w:pPr>
        <w:bidi/>
        <w:spacing w:after="400" w:line="300"/>
        <w:jc w:val="center"/>
      </w:pPr>
      <w:r>
        <w:rPr>
          <w:rFonts w:ascii="Sakkal Majalla" w:cs="Sakkal Majalla" w:eastAsia="Sakkal Majalla" w:hAnsi="Sakkal Majalla"/>
          <w:b w:val="false"/>
          <w:bCs w:val="false"/>
          <w:i w:val="false"/>
          <w:iCs w:val="false"/>
          <w:sz w:val="28"/>
          <w:szCs w:val="28"/>
          <w:rtl/>
        </w:rPr>
        <w:t xml:space="preserve">الوثيقة الموحّدة: من المشكلة التشغيلية إلى القرار الإداري إلى التنفيذ الفني</w:t>
      </w:r>
    </w:p>
    <w:p>
      <w:pPr>
        <w:pBdr>
          <w:top w:val="single" w:color="B8860B" w:sz="6"/>
          <w:bottom w:val="single" w:color="B8860B" w:sz="6"/>
        </w:pBdr>
        <w:bidi/>
        <w:spacing w:after="200" w:before="200"/>
        <w:jc w:val="center"/>
      </w:pPr>
      <w:r>
        <w:rPr>
          <w:rFonts w:ascii="Sakkal Majalla" w:cs="Sakkal Majalla" w:eastAsia="Sakkal Majalla" w:hAnsi="Sakkal Majalla"/>
          <w:b w:val="false"/>
          <w:bCs w:val="false"/>
          <w:i/>
          <w:iCs/>
          <w:sz w:val="24"/>
          <w:szCs w:val="24"/>
          <w:rtl/>
        </w:rPr>
        <w:t xml:space="preserve">تدمج هذه الوثيقة «ورقة النقاش الإدارية» و«وثيقة التحليل الفني» في إطار واحد متكامل</w:t>
      </w:r>
    </w:p>
    <w:p>
      <w:pPr>
        <w:spacing w:before="300"/>
      </w:pPr>
    </w:p>
    <w:p>
      <w:pPr>
        <w:bidi/>
        <w:spacing w:after="60" w:line="300"/>
        <w:jc w:val="center"/>
      </w:pPr>
      <w:r>
        <w:rPr>
          <w:rFonts w:ascii="Sakkal Majalla" w:cs="Sakkal Majalla" w:eastAsia="Sakkal Majalla" w:hAnsi="Sakkal Majalla"/>
          <w:b w:val="false"/>
          <w:bCs w:val="false"/>
          <w:i w:val="false"/>
          <w:iCs w:val="false"/>
          <w:sz w:val="24"/>
          <w:szCs w:val="24"/>
          <w:rtl/>
        </w:rPr>
        <w:t xml:space="preserve">إعداد: قسم تحليل النظم والبرمجيات</w:t>
      </w:r>
    </w:p>
    <w:p>
      <w:pPr>
        <w:bidi/>
        <w:spacing w:after="0" w:line="300"/>
        <w:jc w:val="center"/>
      </w:pPr>
      <w:r>
        <w:rPr>
          <w:rFonts w:ascii="Sakkal Majalla" w:cs="Sakkal Majalla" w:eastAsia="Sakkal Majalla" w:hAnsi="Sakkal Majalla"/>
          <w:b w:val="false"/>
          <w:bCs w:val="false"/>
          <w:i w:val="false"/>
          <w:iCs w:val="false"/>
          <w:sz w:val="24"/>
          <w:szCs w:val="24"/>
          <w:rtl/>
        </w:rPr>
        <w:t xml:space="preserve">التاريخ: 19 أغسطس 2026 — الإصدار الموحّد 1.0</w:t>
      </w:r>
    </w:p>
    <w:p>
      <w:pPr>
        <w:spacing w:after="0"/>
      </w:pPr>
    </w:p>
    <w:p>
      <w:pPr>
        <w:pageBreakBefore/>
      </w:pPr>
      <w:r>
        <w:br/>
      </w:r>
    </w:p>
    <w:p>
      <w:pPr>
        <w:pStyle w:val="Heading1"/>
        <w:bidi/>
        <w:spacing w:after="200" w:before="340"/>
      </w:pPr>
      <w:r>
        <w:rPr>
          <w:rFonts w:ascii="Sakkal Majalla" w:cs="Sakkal Majalla" w:eastAsia="Sakkal Majalla" w:hAnsi="Sakkal Majalla"/>
          <w:b/>
          <w:bCs/>
          <w:i w:val="false"/>
          <w:iCs w:val="false"/>
          <w:color w:val="1F3B57"/>
          <w:sz w:val="32"/>
          <w:szCs w:val="32"/>
          <w:rtl/>
        </w:rPr>
        <w:t xml:space="preserve">أولًا: لماذا وثيقة واحدة؟ — منطق الترابط</w:t>
      </w:r>
    </w:p>
    <w:p>
      <w:pPr>
        <w:bidi/>
        <w:spacing w:after="160" w:line="300"/>
        <w:jc w:val="both"/>
      </w:pPr>
      <w:r>
        <w:rPr>
          <w:rFonts w:ascii="Sakkal Majalla" w:cs="Sakkal Majalla" w:eastAsia="Sakkal Majalla" w:hAnsi="Sakkal Majalla"/>
          <w:b w:val="false"/>
          <w:bCs w:val="false"/>
          <w:i w:val="false"/>
          <w:iCs w:val="false"/>
          <w:sz w:val="26"/>
          <w:szCs w:val="26"/>
          <w:rtl/>
        </w:rPr>
        <w:t xml:space="preserve">بين أيدينا وثيقتان تتناولان الموضوع نفسه من زاويتين مختلفتين، وكلٌّ منهما ناقصة بدون الأخرى:</w:t>
      </w:r>
    </w:p>
    <w:p>
      <w:pPr>
        <w:pStyle w:val="ListParagraph"/>
        <w:numPr>
          <w:ilvl w:val="0"/>
          <w:numId w:val="2"/>
        </w:numPr>
        <w:bidi/>
        <w:spacing w:after="120" w:line="300"/>
      </w:pPr>
      <w:r>
        <w:rPr>
          <w:rFonts w:ascii="Sakkal Majalla" w:cs="Sakkal Majalla" w:eastAsia="Sakkal Majalla" w:hAnsi="Sakkal Majalla"/>
          <w:b/>
          <w:bCs/>
          <w:i w:val="false"/>
          <w:iCs w:val="false"/>
          <w:sz w:val="26"/>
          <w:szCs w:val="26"/>
          <w:rtl/>
        </w:rPr>
        <w:t xml:space="preserve">ورقة النقاش الإدارية </w:t>
      </w:r>
      <w:r>
        <w:rPr>
          <w:rFonts w:ascii="Sakkal Majalla" w:cs="Sakkal Majalla" w:eastAsia="Sakkal Majalla" w:hAnsi="Sakkal Majalla"/>
          <w:b w:val="false"/>
          <w:bCs w:val="false"/>
          <w:i w:val="false"/>
          <w:iCs w:val="false"/>
          <w:sz w:val="26"/>
          <w:szCs w:val="26"/>
          <w:rtl/>
        </w:rPr>
        <w:t xml:space="preserve">تجيب عن سؤال: «لماذا نبني؟ وما القرارات التي يجب حسمها قبل البناء؟» — تصف مشكلة يومية حقيقية (مال يختفي من التقارير بسبب تسجيل نصف حركة) وتطرح تسعة أسئلة حوكمة.</w:t>
      </w:r>
    </w:p>
    <w:p>
      <w:pPr>
        <w:pStyle w:val="ListParagraph"/>
        <w:numPr>
          <w:ilvl w:val="0"/>
          <w:numId w:val="2"/>
        </w:numPr>
        <w:bidi/>
        <w:spacing w:after="120" w:line="300"/>
      </w:pPr>
      <w:r>
        <w:rPr>
          <w:rFonts w:ascii="Sakkal Majalla" w:cs="Sakkal Majalla" w:eastAsia="Sakkal Majalla" w:hAnsi="Sakkal Majalla"/>
          <w:b/>
          <w:bCs/>
          <w:i w:val="false"/>
          <w:iCs w:val="false"/>
          <w:sz w:val="26"/>
          <w:szCs w:val="26"/>
          <w:rtl/>
        </w:rPr>
        <w:t xml:space="preserve">وثيقة التحليل الفني </w:t>
      </w:r>
      <w:r>
        <w:rPr>
          <w:rFonts w:ascii="Sakkal Majalla" w:cs="Sakkal Majalla" w:eastAsia="Sakkal Majalla" w:hAnsi="Sakkal Majalla"/>
          <w:b w:val="false"/>
          <w:bCs w:val="false"/>
          <w:i w:val="false"/>
          <w:iCs w:val="false"/>
          <w:sz w:val="26"/>
          <w:szCs w:val="26"/>
          <w:rtl/>
        </w:rPr>
        <w:t xml:space="preserve">تجيب عن سؤال: «كيف نبني؟» — نموذج بيانات، مصفوفة صلاحيات، خط سير عمل، ومعايير مصرفية دولية.</w:t>
      </w:r>
    </w:p>
    <w:p>
      <w:pPr>
        <w:bidi/>
        <w:spacing w:after="160" w:line="300"/>
        <w:jc w:val="both"/>
      </w:pPr>
      <w:r>
        <w:rPr>
          <w:rFonts w:ascii="Sakkal Majalla" w:cs="Sakkal Majalla" w:eastAsia="Sakkal Majalla" w:hAnsi="Sakkal Majalla"/>
          <w:b/>
          <w:bCs/>
          <w:i w:val="false"/>
          <w:iCs w:val="false"/>
          <w:color w:val="1F3B57"/>
          <w:sz w:val="26"/>
          <w:szCs w:val="26"/>
          <w:rtl/>
        </w:rPr>
        <w:t xml:space="preserve">نقطة الالتقاء الجوهرية: </w:t>
      </w:r>
      <w:r>
        <w:rPr>
          <w:rFonts w:ascii="Sakkal Majalla" w:cs="Sakkal Majalla" w:eastAsia="Sakkal Majalla" w:hAnsi="Sakkal Majalla"/>
          <w:b w:val="false"/>
          <w:bCs w:val="false"/>
          <w:i w:val="false"/>
          <w:iCs w:val="false"/>
          <w:sz w:val="26"/>
          <w:szCs w:val="26"/>
          <w:rtl/>
        </w:rPr>
        <w:t xml:space="preserve">«النقل بين الأرصدة» الذي تطالب به الورقة الإدارية ليس نظامًا منفصلًا — هو </w:t>
      </w:r>
      <w:r>
        <w:rPr>
          <w:rFonts w:ascii="Sakkal Majalla" w:cs="Sakkal Majalla" w:eastAsia="Sakkal Majalla" w:hAnsi="Sakkal Majalla"/>
          <w:b/>
          <w:bCs/>
          <w:i w:val="false"/>
          <w:iCs w:val="false"/>
          <w:sz w:val="26"/>
          <w:szCs w:val="26"/>
          <w:rtl/>
        </w:rPr>
        <w:t xml:space="preserve">حالة استخدام مباشرة لوحدة التحويلات بين الصناديق</w:t>
      </w:r>
      <w:r>
        <w:rPr>
          <w:rFonts w:ascii="Sakkal Majalla" w:cs="Sakkal Majalla" w:eastAsia="Sakkal Majalla" w:hAnsi="Sakkal Majalla"/>
          <w:b w:val="false"/>
          <w:bCs w:val="false"/>
          <w:i w:val="false"/>
          <w:iCs w:val="false"/>
          <w:sz w:val="26"/>
          <w:szCs w:val="26"/>
          <w:rtl/>
        </w:rPr>
        <w:t xml:space="preserve">. النقد في الدرج، ورصيد البنك، وحساب شركة الحوالات، وصندوق الفروقات، والذمم — كلها «صناديق» في نموذج البيانات نفسه (Cashbox)، والنقل بينها هو «تحويل» يمر بخط السير ذاته. أي أن كل سؤال إداري في الورقة الأولى له آلية تقنية جاهزة في الوثيقة الثانية تنفّذ القرار حرفيًا.</w:t>
      </w:r>
    </w:p>
    <w:p>
      <w:pPr>
        <w:bidi/>
        <w:spacing w:after="160" w:line="300"/>
        <w:jc w:val="both"/>
      </w:pPr>
      <w:r>
        <w:rPr>
          <w:rFonts w:ascii="Sakkal Majalla" w:cs="Sakkal Majalla" w:eastAsia="Sakkal Majalla" w:hAnsi="Sakkal Majalla"/>
          <w:b/>
          <w:bCs/>
          <w:i w:val="false"/>
          <w:iCs w:val="false"/>
          <w:sz w:val="26"/>
          <w:szCs w:val="26"/>
          <w:rtl/>
        </w:rPr>
        <w:t xml:space="preserve">والنتيجة العملية للدمج: </w:t>
      </w:r>
      <w:r>
        <w:rPr>
          <w:rFonts w:ascii="Sakkal Majalla" w:cs="Sakkal Majalla" w:eastAsia="Sakkal Majalla" w:hAnsi="Sakkal Majalla"/>
          <w:b w:val="false"/>
          <w:bCs w:val="false"/>
          <w:i w:val="false"/>
          <w:iCs w:val="false"/>
          <w:sz w:val="26"/>
          <w:szCs w:val="26"/>
          <w:rtl/>
        </w:rPr>
        <w:t xml:space="preserve">الإدارة لا تُطلَب منها الموافقة على «مشروع تقني»، بل الإجابة عن تسعة أسئلة تشغيلية — وكل إجابة تتحول تلقائيًا إلى إعداد (Configuration) في النظام، لا إلى إعادة برمجة. هذا هو جوهر الإقناع في هذه الوثيقة.</w:t>
      </w:r>
    </w:p>
    <w:p>
      <w:pPr>
        <w:pStyle w:val="Heading1"/>
        <w:bidi/>
        <w:spacing w:after="200" w:before="340"/>
      </w:pPr>
      <w:r>
        <w:rPr>
          <w:rFonts w:ascii="Sakkal Majalla" w:cs="Sakkal Majalla" w:eastAsia="Sakkal Majalla" w:hAnsi="Sakkal Majalla"/>
          <w:b/>
          <w:bCs/>
          <w:i w:val="false"/>
          <w:iCs w:val="false"/>
          <w:color w:val="1F3B57"/>
          <w:sz w:val="32"/>
          <w:szCs w:val="32"/>
          <w:rtl/>
        </w:rPr>
        <w:t xml:space="preserve">ثانيًا: المشكلة كما تحدث على الأرض</w:t>
      </w:r>
    </w:p>
    <w:p>
      <w:pPr>
        <w:bidi/>
        <w:spacing w:after="160" w:line="300"/>
        <w:jc w:val="both"/>
      </w:pPr>
      <w:r>
        <w:rPr>
          <w:rFonts w:ascii="Sakkal Majalla" w:cs="Sakkal Majalla" w:eastAsia="Sakkal Majalla" w:hAnsi="Sakkal Majalla"/>
          <w:b w:val="false"/>
          <w:bCs w:val="false"/>
          <w:i w:val="false"/>
          <w:iCs w:val="false"/>
          <w:sz w:val="26"/>
          <w:szCs w:val="26"/>
          <w:rtl/>
        </w:rPr>
        <w:t xml:space="preserve">مال المكتب لا يجلس في مكان واحد: جزء نقد في الدرج، وجزء رصيد في البنك، وجزء حساب جارٍ مع شركة الحوالات — ويتحرك المال بينها كل يوم:</w:t>
      </w:r>
    </w:p>
    <w:p>
      <w:pPr>
        <w:pStyle w:val="ListParagraph"/>
        <w:numPr>
          <w:ilvl w:val="0"/>
          <w:numId w:val="2"/>
        </w:numPr>
        <w:bidi/>
        <w:spacing w:after="120" w:line="300"/>
      </w:pPr>
      <w:r>
        <w:rPr>
          <w:rFonts w:ascii="Sakkal Majalla" w:cs="Sakkal Majalla" w:eastAsia="Sakkal Majalla" w:hAnsi="Sakkal Majalla"/>
          <w:b w:val="false"/>
          <w:bCs w:val="false"/>
          <w:i w:val="false"/>
          <w:iCs w:val="false"/>
          <w:sz w:val="26"/>
          <w:szCs w:val="26"/>
          <w:rtl/>
        </w:rPr>
        <w:t xml:space="preserve">الوسيط يسدّد نقدًا: رصيده عندنا ينقص، والنقد في الدرج يزيد.</w:t>
      </w:r>
    </w:p>
    <w:p>
      <w:pPr>
        <w:pStyle w:val="ListParagraph"/>
        <w:numPr>
          <w:ilvl w:val="0"/>
          <w:numId w:val="2"/>
        </w:numPr>
        <w:bidi/>
        <w:spacing w:after="120" w:line="300"/>
      </w:pPr>
      <w:r>
        <w:rPr>
          <w:rFonts w:ascii="Sakkal Majalla" w:cs="Sakkal Majalla" w:eastAsia="Sakkal Majalla" w:hAnsi="Sakkal Majalla"/>
          <w:b w:val="false"/>
          <w:bCs w:val="false"/>
          <w:i w:val="false"/>
          <w:iCs w:val="false"/>
          <w:sz w:val="26"/>
          <w:szCs w:val="26"/>
          <w:rtl/>
        </w:rPr>
        <w:t xml:space="preserve">نودع نقدًا في البنك: الدرج ينقص، والحساب البنكي يزيد.</w:t>
      </w:r>
    </w:p>
    <w:p>
      <w:pPr>
        <w:pStyle w:val="ListParagraph"/>
        <w:numPr>
          <w:ilvl w:val="0"/>
          <w:numId w:val="2"/>
        </w:numPr>
        <w:bidi/>
        <w:spacing w:after="120" w:line="300"/>
      </w:pPr>
      <w:r>
        <w:rPr>
          <w:rFonts w:ascii="Sakkal Majalla" w:cs="Sakkal Majalla" w:eastAsia="Sakkal Majalla" w:hAnsi="Sakkal Majalla"/>
          <w:b w:val="false"/>
          <w:bCs w:val="false"/>
          <w:i w:val="false"/>
          <w:iCs w:val="false"/>
          <w:sz w:val="26"/>
          <w:szCs w:val="26"/>
          <w:rtl/>
        </w:rPr>
        <w:t xml:space="preserve">شركة الحوالات تصفّي حسابها: ما كان لنا عندها يصير نقدًا في يدنا.</w:t>
      </w:r>
    </w:p>
    <w:p>
      <w:pPr>
        <w:bidi/>
        <w:spacing w:after="160" w:line="300"/>
        <w:jc w:val="both"/>
      </w:pPr>
      <w:r>
        <w:rPr>
          <w:rFonts w:ascii="Sakkal Majalla" w:cs="Sakkal Majalla" w:eastAsia="Sakkal Majalla" w:hAnsi="Sakkal Majalla"/>
          <w:b w:val="false"/>
          <w:bCs w:val="false"/>
          <w:i w:val="false"/>
          <w:iCs w:val="false"/>
          <w:sz w:val="26"/>
          <w:szCs w:val="26"/>
          <w:rtl/>
        </w:rPr>
        <w:t xml:space="preserve">في الحالات الثلاث قيمة المكتب لم تتغيّر بفلس واحد — تغيّر مكان المال فقط. لكن النظام الحالي يسجّلها </w:t>
      </w:r>
      <w:r>
        <w:rPr>
          <w:rFonts w:ascii="Sakkal Majalla" w:cs="Sakkal Majalla" w:eastAsia="Sakkal Majalla" w:hAnsi="Sakkal Majalla"/>
          <w:b/>
          <w:bCs/>
          <w:i w:val="false"/>
          <w:iCs w:val="false"/>
          <w:sz w:val="26"/>
          <w:szCs w:val="26"/>
          <w:rtl/>
        </w:rPr>
        <w:t xml:space="preserve">حركتين منفصلتين لا يربط بينهما شيء</w:t>
      </w:r>
      <w:r>
        <w:rPr>
          <w:rFonts w:ascii="Sakkal Majalla" w:cs="Sakkal Majalla" w:eastAsia="Sakkal Majalla" w:hAnsi="Sakkal Majalla"/>
          <w:b w:val="false"/>
          <w:bCs w:val="false"/>
          <w:i w:val="false"/>
          <w:iCs w:val="false"/>
          <w:sz w:val="26"/>
          <w:szCs w:val="26"/>
          <w:rtl/>
        </w:rPr>
        <w:t xml:space="preserve">، والخلل أن الثانية قد لا تحدث: ينشغل الموظف أو ينقطع الاتصال، فينقص مال المكتب بالمبلغ كله دون سطر واحد يفسّر النقص — لا ربح ولا خسارة ولا مصروف، بل مال «اختفى» في التسجيل لا في العدّ. ثم تُهدر أيام في البحث عن خطأ لم يقع أصلًا. ويستحيل التراجع عن نصف حركة: يُلغى طرف ويُبحث عن الآخر يدويًا.</w:t>
      </w:r>
    </w:p>
    <w:p>
      <w:pPr>
        <w:pBdr>
          <w:right w:val="single" w:color="B8860B" w:sz="18"/>
        </w:pBdr>
        <w:shd w:fill="F2EBDD" w:val="clear"/>
        <w:bidi/>
        <w:spacing w:after="200" w:before="120" w:line="300"/>
      </w:pPr>
      <w:r>
        <w:rPr>
          <w:rFonts w:ascii="Sakkal Majalla" w:cs="Sakkal Majalla" w:eastAsia="Sakkal Majalla" w:hAnsi="Sakkal Majalla"/>
          <w:b/>
          <w:bCs/>
          <w:i w:val="false"/>
          <w:iCs w:val="false"/>
          <w:sz w:val="26"/>
          <w:szCs w:val="26"/>
          <w:rtl/>
        </w:rPr>
        <w:t xml:space="preserve">هذه ليست مشكلة «راحة موظف» — إنها مشكلة سلامة أرصدة. وحلّها الجذري ليس شاشة جديدة، بل مبدأ محاسبي وتقني واحد: الحركة الذرّية بقيد مزدوج.</w:t>
      </w:r>
    </w:p>
    <w:p>
      <w:pPr>
        <w:pStyle w:val="Heading1"/>
        <w:bidi/>
        <w:spacing w:after="200" w:before="340"/>
      </w:pPr>
      <w:r>
        <w:rPr>
          <w:rFonts w:ascii="Sakkal Majalla" w:cs="Sakkal Majalla" w:eastAsia="Sakkal Majalla" w:hAnsi="Sakkal Majalla"/>
          <w:b/>
          <w:bCs/>
          <w:i w:val="false"/>
          <w:iCs w:val="false"/>
          <w:color w:val="1F3B57"/>
          <w:sz w:val="32"/>
          <w:szCs w:val="32"/>
          <w:rtl/>
        </w:rPr>
        <w:t xml:space="preserve">ثالثًا: الحل — مبدأ واحد يحكم كل شيء</w:t>
      </w:r>
    </w:p>
    <w:p>
      <w:pPr>
        <w:bidi/>
        <w:spacing w:after="160" w:line="300"/>
        <w:jc w:val="both"/>
      </w:pPr>
      <w:r>
        <w:rPr>
          <w:rFonts w:ascii="Sakkal Majalla" w:cs="Sakkal Majalla" w:eastAsia="Sakkal Majalla" w:hAnsi="Sakkal Majalla"/>
          <w:b w:val="false"/>
          <w:bCs w:val="false"/>
          <w:i w:val="false"/>
          <w:iCs w:val="false"/>
          <w:sz w:val="26"/>
          <w:szCs w:val="26"/>
          <w:rtl/>
        </w:rPr>
        <w:t xml:space="preserve">تقترح الورقة الإدارية حركة واحدة اسمها «نقل»: من أي رصيد، إلى أي رصيد، كم، ولماذا — الطرفان يُسجَّلان معًا أو لا يُسجَّل شيء. وهذا بالضبط ما يضمنه التحليل الفني بأربع آليات مترابطة:</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800"/>
      </w:tblGrid>
      <w:tr>
        <w:trPr>
          <w:tblHeader/>
        </w:trPr>
        <w:tc>
          <w:tcPr>
            <w:tcW w:type="dxa" w:w="34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ما وعدت به الورقة الإدارية</w:t>
            </w:r>
          </w:p>
        </w:tc>
        <w:tc>
          <w:tcPr>
            <w:tcW w:type="dxa" w:w="34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الآلية التقنية التي تحققه</w:t>
            </w:r>
          </w:p>
        </w:tc>
        <w:tc>
          <w:tcPr>
            <w:tcW w:type="dxa" w:w="28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الأثر العملي</w:t>
            </w:r>
          </w:p>
        </w:tc>
      </w:tr>
      <w:tr>
        <w:tc>
          <w:tcPr>
            <w:tcW w:type="dxa" w:w="3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«الطرفان معًا أو لا شيء — لا وجود لنصف نقل»</w:t>
            </w:r>
          </w:p>
        </w:tc>
        <w:tc>
          <w:tcPr>
            <w:tcW w:type="dxa" w:w="3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المعاملة الذرّية (Atomic Transaction): خصم وإضافة في معاملة قاعدة بيانات واحدة، مع قفل صفوف الصندوقين بترتيب ثابت</w:t>
            </w:r>
          </w:p>
        </w:tc>
        <w:tc>
          <w:tcPr>
            <w:tcW w:type="dxa" w:w="28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يستحيل تقنيًا أن يختفي مال بسبب تسجيل ناقص</w:t>
            </w:r>
          </w:p>
        </w:tc>
      </w:tr>
      <w:tr>
        <w:tc>
          <w:tcPr>
            <w:tcW w:type="dxa" w:w="3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«سطر واحد مفهوم يذكر الطرفين»</w:t>
            </w:r>
          </w:p>
        </w:tc>
        <w:tc>
          <w:tcPr>
            <w:tcW w:type="dxa" w:w="3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القيد المزدوج (Double-Entry): دائن للمصدر ومدين للوجهة، مربوطان برقم حركة واحد ومرجع موحّد</w:t>
            </w:r>
          </w:p>
        </w:tc>
        <w:tc>
          <w:tcPr>
            <w:tcW w:type="dxa" w:w="28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السجل يشرح نفسه، والمدقق يتتبع أي حركة من طرفيها</w:t>
            </w:r>
          </w:p>
        </w:tc>
      </w:tr>
      <w:tr>
        <w:tc>
          <w:tcPr>
            <w:tcW w:type="dxa" w:w="3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«تُقرأ في تقرير اليوم صفرًا: لا ربح ولا خسارة»</w:t>
            </w:r>
          </w:p>
        </w:tc>
        <w:tc>
          <w:tcPr>
            <w:tcW w:type="dxa" w:w="3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تصنيف الحركة «نقل داخلي» في دفتر الأستاذ — لا تمس حسابات الإيرادات والمصروفات</w:t>
            </w:r>
          </w:p>
        </w:tc>
        <w:tc>
          <w:tcPr>
            <w:tcW w:type="dxa" w:w="28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ربح اليوم يبقى صادقًا، ولا تشوّهه حركات المواقع</w:t>
            </w:r>
          </w:p>
        </w:tc>
      </w:tr>
      <w:tr>
        <w:tc>
          <w:tcPr>
            <w:tcW w:type="dxa" w:w="3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«تُلغى كوحدة واحدة إن كانت خطأً»</w:t>
            </w:r>
          </w:p>
        </w:tc>
        <w:tc>
          <w:tcPr>
            <w:tcW w:type="dxa" w:w="3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العكس بقيد عكسي (Reversal) مرجعه الحركة الأصلية — لا يُحذف أو يُعدَّل أي سجل منفَّذ إطلاقًا</w:t>
            </w:r>
          </w:p>
        </w:tc>
        <w:tc>
          <w:tcPr>
            <w:tcW w:type="dxa" w:w="28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تراجع بضغطة واحدة، وتاريخ كامل محفوظ للتدقيق</w:t>
            </w:r>
          </w:p>
        </w:tc>
      </w:tr>
      <w:tr>
        <w:tc>
          <w:tcPr>
            <w:tcW w:type="dxa" w:w="3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عدم تكرار الحركة عند انقطاع الاتصال</w:t>
            </w:r>
          </w:p>
        </w:tc>
        <w:tc>
          <w:tcPr>
            <w:tcW w:type="dxa" w:w="3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مفتاح Idempotency لكل طلب يمنع التنفيذ مرتين عند إعادة الإرسال</w:t>
            </w:r>
          </w:p>
        </w:tc>
        <w:tc>
          <w:tcPr>
            <w:tcW w:type="dxa" w:w="28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حماية جوهرية في بيئة إنترنت غير مستقرة</w:t>
            </w:r>
          </w:p>
        </w:tc>
      </w:tr>
    </w:tbl>
    <w:p>
      <w:pPr>
        <w:pageBreakBefore/>
        <w:spacing w:after="0"/>
      </w:pPr>
      <w:r/>
    </w:p>
    <w:p>
      <w:pPr>
        <w:pStyle w:val="Heading1"/>
        <w:bidi/>
        <w:spacing w:after="200" w:before="340"/>
      </w:pPr>
      <w:r>
        <w:rPr>
          <w:rFonts w:ascii="Sakkal Majalla" w:cs="Sakkal Majalla" w:eastAsia="Sakkal Majalla" w:hAnsi="Sakkal Majalla"/>
          <w:b/>
          <w:bCs/>
          <w:i w:val="false"/>
          <w:iCs w:val="false"/>
          <w:color w:val="1F3B57"/>
          <w:sz w:val="32"/>
          <w:szCs w:val="32"/>
          <w:rtl/>
        </w:rPr>
        <w:t xml:space="preserve">رابعًا: التمثيل الفعلي — دورة المال من الخزينة إلى العميل وعودتها</w:t>
      </w:r>
    </w:p>
    <w:p>
      <w:pPr>
        <w:bidi/>
        <w:spacing w:after="160" w:line="300"/>
        <w:jc w:val="both"/>
      </w:pPr>
      <w:r>
        <w:rPr>
          <w:rFonts w:ascii="Sakkal Majalla" w:cs="Sakkal Majalla" w:eastAsia="Sakkal Majalla" w:hAnsi="Sakkal Majalla"/>
          <w:b w:val="false"/>
          <w:bCs w:val="false"/>
          <w:i w:val="false"/>
          <w:iCs w:val="false"/>
          <w:sz w:val="26"/>
          <w:szCs w:val="26"/>
          <w:rtl/>
        </w:rPr>
        <w:t xml:space="preserve">قبل الغوص في القرارات، هذا هو المشهد كما يحدث فعليًا في المكتب كل يوم. كل سهم مرقّم في المخطط هو حركة حقيقية يعرفها الموظفون — وكلها تمر عبر الوحدة نفسها بالقواعد نفسها:</w:t>
      </w:r>
    </w:p>
    <w:p>
      <w:pPr>
        <w:spacing w:after="160" w:before="120"/>
        <w:jc w:val="center"/>
      </w:pPr>
      <w:r>
        <w:drawing>
          <wp:inline distT="0" distB="0" distL="0" distR="0">
            <wp:extent cx="62865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648200"/>
                    </a:xfrm>
                    <a:prstGeom prst="rect">
                      <a:avLst/>
                    </a:prstGeom>
                  </pic:spPr>
                </pic:pic>
              </a:graphicData>
            </a:graphic>
          </wp:inline>
        </w:drawing>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اليوم التشغيلي الكامل — خطوة بخطوة</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400"/>
        <w:gridCol w:w="3000"/>
      </w:tblGrid>
      <w:tr>
        <w:trPr>
          <w:tblHeader/>
        </w:trPr>
        <w:tc>
          <w:tcPr>
            <w:tcW w:type="dxa" w:w="7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w:t>
            </w:r>
          </w:p>
        </w:tc>
        <w:tc>
          <w:tcPr>
            <w:tcW w:type="dxa" w:w="35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الحركة كما تحدث فعليًا</w:t>
            </w:r>
          </w:p>
        </w:tc>
        <w:tc>
          <w:tcPr>
            <w:tcW w:type="dxa" w:w="24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من ← إلى</w:t>
            </w:r>
          </w:p>
        </w:tc>
        <w:tc>
          <w:tcPr>
            <w:tcW w:type="dxa" w:w="30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ما يفرضه النظام</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١</w:t>
            </w:r>
          </w:p>
        </w:tc>
        <w:tc>
          <w:tcPr>
            <w:tcW w:type="dxa" w:w="35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فتح اليوم: أمين الصندوق يغذّي كل تلر برصيد بداية الدوام</w:t>
            </w:r>
          </w:p>
        </w:tc>
        <w:tc>
          <w:tcPr>
            <w:tcW w:type="dxa" w:w="2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الخزينة الرئيسية ← صندوق التلر</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صلاحية سحب حصرية لأمين الصندوق + توقيع استلام التلر داخل النظام</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٢</w:t>
            </w:r>
          </w:p>
        </w:tc>
        <w:tc>
          <w:tcPr>
            <w:tcW w:type="dxa" w:w="35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عميل يصرف حوالة أو مبلغًا: التلر يسلّمه نقدًا من صندوقه</w:t>
            </w:r>
          </w:p>
        </w:tc>
        <w:tc>
          <w:tcPr>
            <w:tcW w:type="dxa" w:w="2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صندوق التلر ← العميل</w:t>
            </w:r>
          </w:p>
        </w:tc>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تحقق من الرصيد بقفل الصف، ولا يُسمح برصيد سالب؛ سقف يومي للتلر</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٣</w:t>
            </w:r>
          </w:p>
        </w:tc>
        <w:tc>
          <w:tcPr>
            <w:tcW w:type="dxa" w:w="35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عمولة العملية تُفصل تلقائيًا لحظة التنفيذ</w:t>
            </w:r>
          </w:p>
        </w:tc>
        <w:tc>
          <w:tcPr>
            <w:tcW w:type="dxa" w:w="2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الحركة ← صندوق الأرباح</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محرّك الاقتطاع: قيد مستقل لا يُدمج مع مبلغ العميل — إيرادات نظيفة</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٤</w:t>
            </w:r>
          </w:p>
        </w:tc>
        <w:tc>
          <w:tcPr>
            <w:tcW w:type="dxa" w:w="35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عميل يدفع: موظف الاستقبال يقبض ويودع في صندوق الفرع</w:t>
            </w:r>
          </w:p>
        </w:tc>
        <w:tc>
          <w:tcPr>
            <w:tcW w:type="dxa" w:w="2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العميل ← صندوق الفرع</w:t>
            </w:r>
          </w:p>
        </w:tc>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صلاحية «إيداع فقط»: أي محاولة سحب تُرفض خادميًا وتُسجَّل كمحاولة</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٥</w:t>
            </w:r>
          </w:p>
        </w:tc>
        <w:tc>
          <w:tcPr>
            <w:tcW w:type="dxa" w:w="35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أمين الصندوق يرفع متجمّع صندوق الفرع إلى الخزينة</w:t>
            </w:r>
          </w:p>
        </w:tc>
        <w:tc>
          <w:tcPr>
            <w:tcW w:type="dxa" w:w="2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صندوق الفرع ← الخزينة</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السحب من صندوق الفرع حصري لأمين الصندوق — فصل قبض عن حفظ</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٦</w:t>
            </w:r>
          </w:p>
        </w:tc>
        <w:tc>
          <w:tcPr>
            <w:tcW w:type="dxa" w:w="35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تلر (أ) نفدت سيولته ويحتاج من زميله (ب)</w:t>
            </w:r>
          </w:p>
        </w:tc>
        <w:tc>
          <w:tcPr>
            <w:tcW w:type="dxa" w:w="2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تلر أ ← الخزينة ← تلر ب</w:t>
            </w:r>
          </w:p>
        </w:tc>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النقل المباشر تلر↔تلر مرفوض بقاعدة مسار — كل تلر يُحاسَب على ما استلم وسلّم</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٧</w:t>
            </w:r>
          </w:p>
        </w:tc>
        <w:tc>
          <w:tcPr>
            <w:tcW w:type="dxa" w:w="35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فائض الخزينة يودَع في البنك</w:t>
            </w:r>
          </w:p>
        </w:tc>
        <w:tc>
          <w:tcPr>
            <w:tcW w:type="dxa" w:w="2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الخزينة ← «في الطريق» ← رصيد البنك</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لا يدخل رصيد البنك قبل تأكيد الوصول — لا صرف من مال لم يصل (س١)</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٨</w:t>
            </w:r>
          </w:p>
        </w:tc>
        <w:tc>
          <w:tcPr>
            <w:tcW w:type="dxa" w:w="35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شركة الحوالات تصفّي حسابها / الوسيط يسدّد نقدًا</w:t>
            </w:r>
          </w:p>
        </w:tc>
        <w:tc>
          <w:tcPr>
            <w:tcW w:type="dxa" w:w="2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رصيد خارجي ← الخزينة</w:t>
            </w:r>
          </w:p>
        </w:tc>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نقل لحظي بقيد مزدوج: قيمة المكتب لا تتغيّر — يتغيّر مكان المال فقط</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٩</w:t>
            </w:r>
          </w:p>
        </w:tc>
        <w:tc>
          <w:tcPr>
            <w:tcW w:type="dxa" w:w="35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نهاية الدوام: كل تلر يعيد رصيده كاملًا ويسلّم العهدة</w:t>
            </w:r>
          </w:p>
        </w:tc>
        <w:tc>
          <w:tcPr>
            <w:tcW w:type="dxa" w:w="2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صندوق التلر ← الخزينة</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كشف حساب فوري للتلر: افتتاحي + حركات + ختامي — المطابقة أمام الطرفين</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١٠</w:t>
            </w:r>
          </w:p>
        </w:tc>
        <w:tc>
          <w:tcPr>
            <w:tcW w:type="dxa" w:w="35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العدّ الفعلي يخالف رصيد النظام بزيادة أو نقص</w:t>
            </w:r>
          </w:p>
        </w:tc>
        <w:tc>
          <w:tcPr>
            <w:tcW w:type="dxa" w:w="24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الفرق ← صندوق الفروقات</w:t>
            </w:r>
          </w:p>
        </w:tc>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الفرق يبقى ظاهرًا في نتيجة اليوم ولا يُنقل منه — لا يُخفى عجز بتسميته «نقلًا» (س٢)</w:t>
            </w:r>
          </w:p>
        </w:tc>
      </w:tr>
      <w:tr>
        <w:tc>
          <w:tcPr>
            <w:tcW w:type="dxa" w:w="7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١١</w:t>
            </w:r>
          </w:p>
        </w:tc>
        <w:tc>
          <w:tcPr>
            <w:tcW w:type="dxa" w:w="35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الإقفال اليومي بعد اكتمال المطابقة</w:t>
            </w:r>
          </w:p>
        </w:tc>
        <w:tc>
          <w:tcPr>
            <w:tcW w:type="dxa" w:w="2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تجميد حركات اليوم</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تقرير معتمد لا يُعاد فتحه؛ أي تصحيح لاحق بقيد عكسي مؤرَّخ (س٧)</w:t>
            </w:r>
          </w:p>
        </w:tc>
      </w:tr>
    </w:tbl>
    <w:p>
      <w:pPr>
        <w:bidi/>
        <w:spacing w:after="160" w:line="300"/>
        <w:jc w:val="both"/>
      </w:pPr>
      <w:r>
        <w:rPr>
          <w:rFonts w:ascii="Sakkal Majalla" w:cs="Sakkal Majalla" w:eastAsia="Sakkal Majalla" w:hAnsi="Sakkal Majalla"/>
          <w:b/>
          <w:bCs/>
          <w:i w:val="false"/>
          <w:iCs w:val="false"/>
          <w:color w:val="1F3B57"/>
          <w:sz w:val="26"/>
          <w:szCs w:val="26"/>
          <w:rtl/>
        </w:rPr>
        <w:t xml:space="preserve">لاحظ كيف تلتقي الدورة كلها في نقطة واحدة: </w:t>
      </w:r>
      <w:r>
        <w:rPr>
          <w:rFonts w:ascii="Sakkal Majalla" w:cs="Sakkal Majalla" w:eastAsia="Sakkal Majalla" w:hAnsi="Sakkal Majalla"/>
          <w:b w:val="false"/>
          <w:bCs w:val="false"/>
          <w:i w:val="false"/>
          <w:iCs w:val="false"/>
          <w:sz w:val="26"/>
          <w:szCs w:val="26"/>
          <w:rtl/>
        </w:rPr>
        <w:t xml:space="preserve">المال يخرج من الخزينة صباحًا موزَّعًا على عهد التلرات، ويتحرك نهارًا بين العملاء والصناديق والأرصدة الخارجية، ثم يعود مساءً إلى الخزينة نفسها مطابَقًا حتى آخر وحدة عملة — والفارق الوحيد عن اليوم السابق هو ما استقر في صندوق الأرباح وما انكشف في صندوق الفروقات. هذه الدورة المغلقة هي التي تجعل سؤال «أين المال؟» قابلًا للإجابة في أي لحظة من أي يوم — وهي عين ما تطلبه الأسئلة التسعة التالية أن نحسمه قبل البناء.</w:t>
      </w:r>
    </w:p>
    <w:p>
      <w:pPr>
        <w:pageBreakBefore/>
        <w:spacing w:after="0"/>
      </w:pPr>
      <w:r/>
    </w:p>
    <w:p>
      <w:pPr>
        <w:pStyle w:val="Heading1"/>
        <w:bidi/>
        <w:spacing w:after="200" w:before="340"/>
      </w:pPr>
      <w:r>
        <w:rPr>
          <w:rFonts w:ascii="Sakkal Majalla" w:cs="Sakkal Majalla" w:eastAsia="Sakkal Majalla" w:hAnsi="Sakkal Majalla"/>
          <w:b/>
          <w:bCs/>
          <w:i w:val="false"/>
          <w:iCs w:val="false"/>
          <w:color w:val="1F3B57"/>
          <w:sz w:val="32"/>
          <w:szCs w:val="32"/>
          <w:rtl/>
        </w:rPr>
        <w:t xml:space="preserve">خامسًا: الأسئلة التسعة — من قرار إداري إلى إعداد تقني</w:t>
      </w:r>
    </w:p>
    <w:p>
      <w:pPr>
        <w:bidi/>
        <w:spacing w:after="160" w:line="300"/>
        <w:jc w:val="both"/>
      </w:pPr>
      <w:r>
        <w:rPr>
          <w:rFonts w:ascii="Sakkal Majalla" w:cs="Sakkal Majalla" w:eastAsia="Sakkal Majalla" w:hAnsi="Sakkal Majalla"/>
          <w:b/>
          <w:bCs/>
          <w:i w:val="false"/>
          <w:iCs w:val="false"/>
          <w:sz w:val="26"/>
          <w:szCs w:val="26"/>
          <w:rtl/>
        </w:rPr>
        <w:t xml:space="preserve">هذا هو قلب الوثيقة الموحّدة: </w:t>
      </w:r>
      <w:r>
        <w:rPr>
          <w:rFonts w:ascii="Sakkal Majalla" w:cs="Sakkal Majalla" w:eastAsia="Sakkal Majalla" w:hAnsi="Sakkal Majalla"/>
          <w:b w:val="false"/>
          <w:bCs w:val="false"/>
          <w:i w:val="false"/>
          <w:iCs w:val="false"/>
          <w:sz w:val="26"/>
          <w:szCs w:val="26"/>
          <w:rtl/>
        </w:rPr>
        <w:t xml:space="preserve">كل سؤال طرحته ورقة النقاش له مكان محدد في البنية التقنية ينفّذ الإجابة أيًّا كانت. الإدارة تقرر، والنظام يُهيَّأ — دون إعادة تصميم.</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س١ — إيداع البنك: متى نعتبره وصل؟ (أهم سؤال في الورقة)</w:t>
      </w:r>
    </w:p>
    <w:p>
      <w:pPr>
        <w:bidi/>
        <w:spacing w:after="160" w:line="300"/>
        <w:jc w:val="both"/>
      </w:pPr>
      <w:r>
        <w:rPr>
          <w:rFonts w:ascii="Sakkal Majalla" w:cs="Sakkal Majalla" w:eastAsia="Sakkal Majalla" w:hAnsi="Sakkal Majalla"/>
          <w:b w:val="false"/>
          <w:bCs w:val="false"/>
          <w:i w:val="false"/>
          <w:iCs w:val="false"/>
          <w:sz w:val="26"/>
          <w:szCs w:val="26"/>
          <w:rtl/>
        </w:rPr>
        <w:t xml:space="preserve">النقد يخرج من الدرج اليوم، والرصيد قد لا يظهر في البنك قبل الغد. إن سُجّل الطرفان لحظيًا صار في النظام رصيد بنكي لا نملكه بعد — وقد يُدفع منه فنُكشف.</w:t>
      </w:r>
    </w:p>
    <w:p>
      <w:pPr>
        <w:pStyle w:val="ListParagraph"/>
        <w:numPr>
          <w:ilvl w:val="0"/>
          <w:numId w:val="2"/>
        </w:numPr>
        <w:bidi/>
        <w:spacing w:after="120" w:line="300"/>
      </w:pPr>
      <w:r>
        <w:rPr>
          <w:rFonts w:ascii="Sakkal Majalla" w:cs="Sakkal Majalla" w:eastAsia="Sakkal Majalla" w:hAnsi="Sakkal Majalla"/>
          <w:b/>
          <w:bCs/>
          <w:i w:val="false"/>
          <w:iCs w:val="false"/>
          <w:sz w:val="26"/>
          <w:szCs w:val="26"/>
          <w:rtl/>
        </w:rPr>
        <w:t xml:space="preserve">الترجمة التقنية للخيار (ب) «في الطريق»: </w:t>
      </w:r>
      <w:r>
        <w:rPr>
          <w:rFonts w:ascii="Sakkal Majalla" w:cs="Sakkal Majalla" w:eastAsia="Sakkal Majalla" w:hAnsi="Sakkal Majalla"/>
          <w:b w:val="false"/>
          <w:bCs w:val="false"/>
          <w:i w:val="false"/>
          <w:iCs w:val="false"/>
          <w:sz w:val="26"/>
          <w:szCs w:val="26"/>
          <w:rtl/>
        </w:rPr>
        <w:t xml:space="preserve">آلة الحالات (State Machine) في خط سير التحويل تدعمه أصلًا — تُضاف حالة «قيد التسوية» بين «معتمَدة» و«منفَّذة»، ويُنشأ صندوق عبور (In-Transit) لا يُصرف منه، وينتقل المبلغ منه إلى رصيد البنك عند تأكيد الوصول.</w:t>
      </w:r>
    </w:p>
    <w:p>
      <w:pPr>
        <w:pStyle w:val="ListParagraph"/>
        <w:numPr>
          <w:ilvl w:val="0"/>
          <w:numId w:val="2"/>
        </w:numPr>
        <w:bidi/>
        <w:spacing w:after="120" w:line="300"/>
      </w:pPr>
      <w:r>
        <w:rPr>
          <w:rFonts w:ascii="Sakkal Majalla" w:cs="Sakkal Majalla" w:eastAsia="Sakkal Majalla" w:hAnsi="Sakkal Majalla"/>
          <w:b/>
          <w:bCs/>
          <w:i w:val="false"/>
          <w:iCs w:val="false"/>
          <w:sz w:val="26"/>
          <w:szCs w:val="26"/>
          <w:rtl/>
        </w:rPr>
        <w:t xml:space="preserve">الترجمة التقنية للخيار (أ) اللحظي: </w:t>
      </w:r>
      <w:r>
        <w:rPr>
          <w:rFonts w:ascii="Sakkal Majalla" w:cs="Sakkal Majalla" w:eastAsia="Sakkal Majalla" w:hAnsi="Sakkal Majalla"/>
          <w:b w:val="false"/>
          <w:bCs w:val="false"/>
          <w:i w:val="false"/>
          <w:iCs w:val="false"/>
          <w:sz w:val="26"/>
          <w:szCs w:val="26"/>
          <w:rtl/>
        </w:rPr>
        <w:t xml:space="preserve">يُنفَّذ التحويل مباشرة كأي نقل داخلي — إعداد واحد يُفعَّل أو يُعطَّل.</w:t>
      </w:r>
    </w:p>
    <w:p>
      <w:pPr>
        <w:bidi/>
        <w:spacing w:after="160" w:line="300"/>
        <w:jc w:val="both"/>
      </w:pPr>
      <w:r>
        <w:rPr>
          <w:rFonts w:ascii="Sakkal Majalla" w:cs="Sakkal Majalla" w:eastAsia="Sakkal Majalla" w:hAnsi="Sakkal Majalla"/>
          <w:b/>
          <w:bCs/>
          <w:i w:val="false"/>
          <w:iCs w:val="false"/>
          <w:color w:val="B8860B"/>
          <w:sz w:val="26"/>
          <w:szCs w:val="26"/>
          <w:rtl/>
        </w:rPr>
        <w:t xml:space="preserve">التوصية: </w:t>
      </w:r>
      <w:r>
        <w:rPr>
          <w:rFonts w:ascii="Sakkal Majalla" w:cs="Sakkal Majalla" w:eastAsia="Sakkal Majalla" w:hAnsi="Sakkal Majalla"/>
          <w:b w:val="false"/>
          <w:bCs w:val="false"/>
          <w:i w:val="false"/>
          <w:iCs w:val="false"/>
          <w:sz w:val="26"/>
          <w:szCs w:val="26"/>
          <w:rtl/>
        </w:rPr>
        <w:t xml:space="preserve">البدء بـ(ب) للإيداعات البنكية تحديدًا؛ الصدق المحاسبي هنا يحمي من انكشاف حقيقي، والخطوة الإضافية على الموظف تأكيد واحد فقط.</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س٢ — أي الأرصدة يُسمح بالنقل بينها؟</w:t>
      </w:r>
    </w:p>
    <w:p>
      <w:pPr>
        <w:bidi/>
        <w:spacing w:after="160" w:line="300"/>
        <w:jc w:val="both"/>
      </w:pPr>
      <w:r>
        <w:rPr>
          <w:rFonts w:ascii="Sakkal Majalla" w:cs="Sakkal Majalla" w:eastAsia="Sakkal Majalla" w:hAnsi="Sakkal Majalla"/>
          <w:b w:val="false"/>
          <w:bCs w:val="false"/>
          <w:i w:val="false"/>
          <w:iCs w:val="false"/>
          <w:sz w:val="26"/>
          <w:szCs w:val="26"/>
          <w:rtl/>
        </w:rPr>
        <w:t xml:space="preserve">الأرصدة الخمسة (النقد، البنك، حساب الحوالات، الفروقات، الذمم) هي جميعًا كيانات Cashbox بأنواع مختلفة. التوصية بحصر النقل في الثلاثة الأولى تُنفَّذ عبر </w:t>
      </w:r>
      <w:r>
        <w:rPr>
          <w:rFonts w:ascii="Sakkal Majalla" w:cs="Sakkal Majalla" w:eastAsia="Sakkal Majalla" w:hAnsi="Sakkal Majalla"/>
          <w:b/>
          <w:bCs/>
          <w:i w:val="false"/>
          <w:iCs w:val="false"/>
          <w:sz w:val="26"/>
          <w:szCs w:val="26"/>
          <w:rtl/>
        </w:rPr>
        <w:t xml:space="preserve">قواعد نوع الصندوق في مصفوفة الصلاحيات</w:t>
      </w:r>
      <w:r>
        <w:rPr>
          <w:rFonts w:ascii="Sakkal Majalla" w:cs="Sakkal Majalla" w:eastAsia="Sakkal Majalla" w:hAnsi="Sakkal Majalla"/>
          <w:b w:val="false"/>
          <w:bCs w:val="false"/>
          <w:i w:val="false"/>
          <w:iCs w:val="false"/>
          <w:sz w:val="26"/>
          <w:szCs w:val="26"/>
          <w:rtl/>
        </w:rPr>
        <w:t xml:space="preserve">: صندوق الفروقات يُعرَّف «إيداع نظامي فقط» — فلا يمكن النقل منه، ويبقى العجز ظاهرًا في نتيجة اليوم بدل إخفائه بتسميته «نقلًا». هذا مثال مباشر على أن قرار الحوكمة يتحول إلى قيد خادمي مُلزم لا مجرد تعليمات.</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س٣ — النقل بين عملتين مختلفتين</w:t>
      </w:r>
    </w:p>
    <w:p>
      <w:pPr>
        <w:bidi/>
        <w:spacing w:after="160" w:line="300"/>
        <w:jc w:val="both"/>
      </w:pPr>
      <w:r>
        <w:rPr>
          <w:rFonts w:ascii="Sakkal Majalla" w:cs="Sakkal Majalla" w:eastAsia="Sakkal Majalla" w:hAnsi="Sakkal Majalla"/>
          <w:b w:val="false"/>
          <w:bCs w:val="false"/>
          <w:i w:val="false"/>
          <w:iCs w:val="false"/>
          <w:sz w:val="26"/>
          <w:szCs w:val="26"/>
          <w:rtl/>
        </w:rPr>
        <w:t xml:space="preserve">نقل الشيكل إلى الشيكل نقل؛ أما شيكل إلى دولار فهو صرف له سعر وربح. التحليل الفني يحسم التنفيذ: التحقق الخادمي يرفض النقل بين صندوقين بعملتين مختلفتين ويحيل الموظف إلى وحدة الصرافة — حيث يُثبَّت سعر الصرف لحظة التنفيذ ويُخزَّن في الحركة، وتُقيَّد فروق العملة تلقائيًا. بهذا يبقى قياس ربح الصرف صحيحًا، ولا يوجد باب خلفي يخرج المال من عملة إلى أخرى بلا سعر ولا هامش.</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س٤ — النقل المباشر بين تلر وتلر</w:t>
      </w:r>
    </w:p>
    <w:p>
      <w:pPr>
        <w:bidi/>
        <w:spacing w:after="160" w:line="300"/>
        <w:jc w:val="both"/>
      </w:pPr>
      <w:r>
        <w:rPr>
          <w:rFonts w:ascii="Sakkal Majalla" w:cs="Sakkal Majalla" w:eastAsia="Sakkal Majalla" w:hAnsi="Sakkal Majalla"/>
          <w:b w:val="false"/>
          <w:bCs w:val="false"/>
          <w:i w:val="false"/>
          <w:iCs w:val="false"/>
          <w:sz w:val="26"/>
          <w:szCs w:val="26"/>
          <w:rtl/>
        </w:rPr>
        <w:t xml:space="preserve">التوصية بالمنع (المرور عبر الخزينة) تُنفَّذ بقاعدة مسار في مصفوفة الصلاحيات: صناديق الموظفين لا يُسمح بالتحويل بينها مباشرة، بل من/إلى الخزينة فقط. الحكمة الرقابية: كل تلر يُحاسَب على ما استلم وما سلّم — وهذا هو مبدأ </w:t>
      </w:r>
      <w:r>
        <w:rPr>
          <w:rFonts w:ascii="Sakkal Majalla" w:cs="Sakkal Majalla" w:eastAsia="Sakkal Majalla" w:hAnsi="Sakkal Majalla"/>
          <w:b/>
          <w:bCs/>
          <w:i w:val="false"/>
          <w:iCs w:val="false"/>
          <w:sz w:val="26"/>
          <w:szCs w:val="26"/>
          <w:rtl/>
        </w:rPr>
        <w:t xml:space="preserve">فصل المهام (Four-Eyes)</w:t>
      </w:r>
      <w:r>
        <w:rPr>
          <w:rFonts w:ascii="Sakkal Majalla" w:cs="Sakkal Majalla" w:eastAsia="Sakkal Majalla" w:hAnsi="Sakkal Majalla"/>
          <w:b w:val="false"/>
          <w:bCs w:val="false"/>
          <w:i w:val="false"/>
          <w:iCs w:val="false"/>
          <w:sz w:val="26"/>
          <w:szCs w:val="26"/>
          <w:rtl/>
        </w:rPr>
        <w:t xml:space="preserve"> نفسه الذي تعتمده الأنظمة المصرفية، مطبَّقًا على مستوى المسارات لا الأشخاص فقط.</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س٥ — هل يحتاج النقل الكبير موافقة ثانية؟</w:t>
      </w:r>
    </w:p>
    <w:p>
      <w:pPr>
        <w:bidi/>
        <w:spacing w:after="160" w:line="300"/>
        <w:jc w:val="both"/>
      </w:pPr>
      <w:r>
        <w:rPr>
          <w:rFonts w:ascii="Sakkal Majalla" w:cs="Sakkal Majalla" w:eastAsia="Sakkal Majalla" w:hAnsi="Sakkal Majalla"/>
          <w:b w:val="false"/>
          <w:bCs w:val="false"/>
          <w:i w:val="false"/>
          <w:iCs w:val="false"/>
          <w:sz w:val="26"/>
          <w:szCs w:val="26"/>
          <w:rtl/>
        </w:rPr>
        <w:t xml:space="preserve">خط سير العمل يتضمن أصلًا خطوة الاعتماد المتدرج (Maker–Checker): إن تجاوز المبلغ عتبة محددة تحوّل الطلب لمعتمِد مختلف عن المنشئ، ودونها يُنفَّذ مباشرة. الخيار (ج) — سقف على الإيداع البنكي وحده — يُنفَّذ بجعل العتبة قابلة للتخصيص حسب نوع الحركة، لأن الإيداع البنكي يُخرج المال فعلًا من متناول المكتب ليوم كامل بينما النقل الداخلي لا يفعل. تبقى الإدارة صاحبة قرار المبلغ — والنظام يفرضه آليًا مع سقف يومي وتنبيه عند التجاوز.</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س٦ — من يملك صلاحية النقل؟</w:t>
      </w:r>
    </w:p>
    <w:p>
      <w:pPr>
        <w:bidi/>
        <w:spacing w:after="160" w:line="300"/>
        <w:jc w:val="both"/>
      </w:pPr>
      <w:r>
        <w:rPr>
          <w:rFonts w:ascii="Sakkal Majalla" w:cs="Sakkal Majalla" w:eastAsia="Sakkal Majalla" w:hAnsi="Sakkal Majalla"/>
          <w:b w:val="false"/>
          <w:bCs w:val="false"/>
          <w:i w:val="false"/>
          <w:iCs w:val="false"/>
          <w:sz w:val="26"/>
          <w:szCs w:val="26"/>
          <w:rtl/>
        </w:rPr>
        <w:t xml:space="preserve">جدول CashboxPermission صُمّم لهذا بالضبط: الصلاحيات مفصولة (رؤية / إيداع / سحب / تحويل / اعتماد / كشف) على مستوى كل صندوق لكل موظف. الخيار (ب) — صلاحية نقل مستقلة عن صلاحية التغذية — متاح دون أي تطوير إضافي، مع شاشة إدارية لمصفوفة الصلاحيات وسجل لمن عدّلها ومتى. والفلترة إلزامية في طبقة الخادم لا الواجهة: الموظف لا يرى أصلًا إلا صناديقه المصرّح بها.</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س٧ — التراجع عن نقل خاطئ</w:t>
      </w:r>
    </w:p>
    <w:p>
      <w:pPr>
        <w:bidi/>
        <w:spacing w:after="160" w:line="300"/>
        <w:jc w:val="both"/>
      </w:pPr>
      <w:r>
        <w:rPr>
          <w:rFonts w:ascii="Sakkal Majalla" w:cs="Sakkal Majalla" w:eastAsia="Sakkal Majalla" w:hAnsi="Sakkal Majalla"/>
          <w:b w:val="false"/>
          <w:bCs w:val="false"/>
          <w:i w:val="false"/>
          <w:iCs w:val="false"/>
          <w:sz w:val="26"/>
          <w:szCs w:val="26"/>
          <w:rtl/>
        </w:rPr>
        <w:t xml:space="preserve">التوصية (الإلغاء في نفس يوم العمل فقط) تتكامل مع آلية </w:t>
      </w:r>
      <w:r>
        <w:rPr>
          <w:rFonts w:ascii="Sakkal Majalla" w:cs="Sakkal Majalla" w:eastAsia="Sakkal Majalla" w:hAnsi="Sakkal Majalla"/>
          <w:b/>
          <w:bCs/>
          <w:i w:val="false"/>
          <w:iCs w:val="false"/>
          <w:sz w:val="26"/>
          <w:szCs w:val="26"/>
          <w:rtl/>
        </w:rPr>
        <w:t xml:space="preserve">الإقفال اليومي (End of Day)</w:t>
      </w:r>
      <w:r>
        <w:rPr>
          <w:rFonts w:ascii="Sakkal Majalla" w:cs="Sakkal Majalla" w:eastAsia="Sakkal Majalla" w:hAnsi="Sakkal Majalla"/>
          <w:b w:val="false"/>
          <w:bCs w:val="false"/>
          <w:i w:val="false"/>
          <w:iCs w:val="false"/>
          <w:sz w:val="26"/>
          <w:szCs w:val="26"/>
          <w:rtl/>
        </w:rPr>
        <w:t xml:space="preserve"> في المواصفات الدولية: بعد المطابقة تُجمَّد حركات اليوم، وأي تصحيح لاحق يكون بقيد عكسي مؤرَّخ لا بإعادة فتح يوم صدر تقريره واعتُمدت أرقامه. النتيجة: مرونة كاملة داخل اليوم، وثبات مطلق للتقارير المعتمدة.</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س٨ و س٩ — سبب النقل وإشعارات المدير</w:t>
      </w:r>
    </w:p>
    <w:p>
      <w:pPr>
        <w:pStyle w:val="ListParagraph"/>
        <w:numPr>
          <w:ilvl w:val="0"/>
          <w:numId w:val="2"/>
        </w:numPr>
        <w:bidi/>
        <w:spacing w:after="120" w:line="300"/>
      </w:pPr>
      <w:r>
        <w:rPr>
          <w:rFonts w:ascii="Sakkal Majalla" w:cs="Sakkal Majalla" w:eastAsia="Sakkal Majalla" w:hAnsi="Sakkal Majalla"/>
          <w:b/>
          <w:bCs/>
          <w:i w:val="false"/>
          <w:iCs w:val="false"/>
          <w:sz w:val="26"/>
          <w:szCs w:val="26"/>
          <w:rtl/>
        </w:rPr>
        <w:t xml:space="preserve">سبب النقل: </w:t>
      </w:r>
      <w:r>
        <w:rPr>
          <w:rFonts w:ascii="Sakkal Majalla" w:cs="Sakkal Majalla" w:eastAsia="Sakkal Majalla" w:hAnsi="Sakkal Majalla"/>
          <w:b w:val="false"/>
          <w:bCs w:val="false"/>
          <w:i w:val="false"/>
          <w:iCs w:val="false"/>
          <w:sz w:val="26"/>
          <w:szCs w:val="26"/>
          <w:rtl/>
        </w:rPr>
        <w:t xml:space="preserve">السطر في السجل يذكر الطرفين والمبلغ والوقت والموظف تلقائيًا؛ والإجبار الدائم يولّد ملاحظات فارغة. الحل الوسط المدعوم تقنيًا: حقل السبب إجباري فوق عتبة قابلة للضبط — نفس محرّك العتبات المستخدم في الاعتماد.</w:t>
      </w:r>
    </w:p>
    <w:p>
      <w:pPr>
        <w:pStyle w:val="ListParagraph"/>
        <w:numPr>
          <w:ilvl w:val="0"/>
          <w:numId w:val="2"/>
        </w:numPr>
        <w:bidi/>
        <w:spacing w:after="120" w:line="300"/>
      </w:pPr>
      <w:r>
        <w:rPr>
          <w:rFonts w:ascii="Sakkal Majalla" w:cs="Sakkal Majalla" w:eastAsia="Sakkal Majalla" w:hAnsi="Sakkal Majalla"/>
          <w:b/>
          <w:bCs/>
          <w:i w:val="false"/>
          <w:iCs w:val="false"/>
          <w:sz w:val="26"/>
          <w:szCs w:val="26"/>
          <w:rtl/>
        </w:rPr>
        <w:t xml:space="preserve">الإشعارات: </w:t>
      </w:r>
      <w:r>
        <w:rPr>
          <w:rFonts w:ascii="Sakkal Majalla" w:cs="Sakkal Majalla" w:eastAsia="Sakkal Majalla" w:hAnsi="Sakkal Majalla"/>
          <w:b w:val="false"/>
          <w:bCs w:val="false"/>
          <w:i w:val="false"/>
          <w:iCs w:val="false"/>
          <w:sz w:val="26"/>
          <w:szCs w:val="26"/>
          <w:rtl/>
        </w:rPr>
        <w:t xml:space="preserve">إشعار يصل عشرين مرة يوميًا يتوقف الناس عن قراءته. البنية تدعم الخيار (ج): إشعار فوري (داخل النظام/واتساب) فوق مبلغ محدد فقط، بينما يغطي سجل التدقيق غير القابل للتعديل — ببصمة تجزئة متسلسلة — كلَّ حركة صغرت أم كبرت، فيراجَع متى شاء المدير.</w:t>
      </w:r>
    </w:p>
    <w:p>
      <w:pPr>
        <w:pageBreakBefore/>
        <w:spacing w:after="0"/>
      </w:pPr>
      <w:r/>
    </w:p>
    <w:p>
      <w:pPr>
        <w:pStyle w:val="Heading1"/>
        <w:bidi/>
        <w:spacing w:after="200" w:before="340"/>
      </w:pPr>
      <w:r>
        <w:rPr>
          <w:rFonts w:ascii="Sakkal Majalla" w:cs="Sakkal Majalla" w:eastAsia="Sakkal Majalla" w:hAnsi="Sakkal Majalla"/>
          <w:b/>
          <w:bCs/>
          <w:i w:val="false"/>
          <w:iCs w:val="false"/>
          <w:color w:val="1F3B57"/>
          <w:sz w:val="32"/>
          <w:szCs w:val="32"/>
          <w:rtl/>
        </w:rPr>
        <w:t xml:space="preserve">سادسًا: لماذا هذا المستوى من الضبط؟ — المعايير التي تحمي القرارات</w:t>
      </w:r>
    </w:p>
    <w:p>
      <w:pPr>
        <w:bidi/>
        <w:spacing w:after="160" w:line="300"/>
        <w:jc w:val="both"/>
      </w:pPr>
      <w:r>
        <w:rPr>
          <w:rFonts w:ascii="Sakkal Majalla" w:cs="Sakkal Majalla" w:eastAsia="Sakkal Majalla" w:hAnsi="Sakkal Majalla"/>
          <w:b w:val="false"/>
          <w:bCs w:val="false"/>
          <w:i w:val="false"/>
          <w:iCs w:val="false"/>
          <w:sz w:val="26"/>
          <w:szCs w:val="26"/>
          <w:rtl/>
        </w:rPr>
        <w:t xml:space="preserve">كل توصية في ورقة النقاش تستند — من حيث لم تُصرّح — إلى معيار مصرفي دولي معتمد في التحليل الفني. إظهار هذا الترابط هو ما يجعل الوثيقة مقنعة أمام أي مدقق أو شريك بنكي:</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00"/>
      </w:tblGrid>
      <w:tr>
        <w:trPr>
          <w:tblHeader/>
        </w:trPr>
        <w:tc>
          <w:tcPr>
            <w:tcW w:type="dxa" w:w="30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المعيار</w:t>
            </w:r>
          </w:p>
        </w:tc>
        <w:tc>
          <w:tcPr>
            <w:tcW w:type="dxa" w:w="36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ما ينص عليه</w:t>
            </w:r>
          </w:p>
        </w:tc>
        <w:tc>
          <w:tcPr>
            <w:tcW w:type="dxa" w:w="30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أين يظهر في قراراتنا</w:t>
            </w:r>
          </w:p>
        </w:tc>
      </w:tr>
      <w:tr>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القيد المزدوج (IFRS)</w:t>
            </w:r>
          </w:p>
        </w:tc>
        <w:tc>
          <w:tcPr>
            <w:tcW w:type="dxa" w:w="36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كل حركة تولّد قيدًا متوازنًا: مجموع المدين = مجموع الدائن</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«الطرفان معًا أو لا شيء» — أساس حل مشكلة المال المختفي</w:t>
            </w:r>
          </w:p>
        </w:tc>
      </w:tr>
      <w:tr>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فصل المهام (Four-Eyes)</w:t>
            </w:r>
          </w:p>
        </w:tc>
        <w:tc>
          <w:tcPr>
            <w:tcW w:type="dxa" w:w="36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منشئ الحركة لا يعتمدها؛ عتبات اعتماد متدرجة حسب المبلغ</w:t>
            </w:r>
          </w:p>
        </w:tc>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س٤ (منع النقل تلر↔تلر) وس٥ (موافقة المدير فوق السقف)</w:t>
            </w:r>
          </w:p>
        </w:tc>
      </w:tr>
      <w:tr>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سجل تدقيق غير قابل للتغيير</w:t>
            </w:r>
          </w:p>
        </w:tc>
        <w:tc>
          <w:tcPr>
            <w:tcW w:type="dxa" w:w="36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Append-only ببصمة تجزئة متسلسلة يكشف أي عبث لاحق</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س٩ — السجل بديل موثوق عن سيل الإشعارات</w:t>
            </w:r>
          </w:p>
        </w:tc>
      </w:tr>
      <w:tr>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الإقفال اليومي</w:t>
            </w:r>
          </w:p>
        </w:tc>
        <w:tc>
          <w:tcPr>
            <w:tcW w:type="dxa" w:w="36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تجميد حركات اليوم بعد المطابقة؛ التصحيح بقيد عكسي مؤرَّخ</w:t>
            </w:r>
          </w:p>
        </w:tc>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س٧ — الإلغاء داخل اليوم فقط</w:t>
            </w:r>
          </w:p>
        </w:tc>
      </w:tr>
      <w:tr>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تعدد العملات (ISO 4217)</w:t>
            </w:r>
          </w:p>
        </w:tc>
        <w:tc>
          <w:tcPr>
            <w:tcW w:type="dxa" w:w="36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أسعار صرف مؤرَّخة مخزَّنة مع كل حركة وقيود فروق تلقائية</w:t>
            </w:r>
          </w:p>
        </w:tc>
        <w:tc>
          <w:tcPr>
            <w:tcW w:type="dxa" w:w="30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س٣ — الفصل الحاسم بين «النقل» و«الصرف»</w:t>
            </w:r>
          </w:p>
        </w:tc>
      </w:tr>
      <w:tr>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الامتثال (AML) والترقيم المتصل</w:t>
            </w:r>
          </w:p>
        </w:tc>
        <w:tc>
          <w:tcPr>
            <w:tcW w:type="dxa" w:w="36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تنبيهات للمبالغ الكبيرة والحركات المتكررة؛ أرقام متتابعة بلا فجوات</w:t>
            </w:r>
          </w:p>
        </w:tc>
        <w:tc>
          <w:tcPr>
            <w:tcW w:type="dxa" w:w="3000"/>
            <w:shd w:fill="EFEFEF"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حماية العلاقة البنكية القائمة وأي ربط مصرفي مستقبلي (ISO 20022)</w:t>
            </w:r>
          </w:p>
        </w:tc>
      </w:tr>
    </w:tbl>
    <w:p>
      <w:pPr>
        <w:bidi/>
        <w:spacing w:after="200" w:line="300"/>
        <w:jc w:val="both"/>
      </w:pPr>
      <w:r>
        <w:rPr>
          <w:rFonts w:ascii="Sakkal Majalla" w:cs="Sakkal Majalla" w:eastAsia="Sakkal Majalla" w:hAnsi="Sakkal Majalla"/>
          <w:b/>
          <w:bCs/>
          <w:i w:val="false"/>
          <w:iCs w:val="false"/>
          <w:sz w:val="26"/>
          <w:szCs w:val="26"/>
          <w:rtl/>
        </w:rPr>
        <w:t xml:space="preserve">إضافة إلى ذلك: </w:t>
      </w:r>
      <w:r>
        <w:rPr>
          <w:rFonts w:ascii="Sakkal Majalla" w:cs="Sakkal Majalla" w:eastAsia="Sakkal Majalla" w:hAnsi="Sakkal Majalla"/>
          <w:b w:val="false"/>
          <w:bCs w:val="false"/>
          <w:i w:val="false"/>
          <w:iCs w:val="false"/>
          <w:sz w:val="26"/>
          <w:szCs w:val="26"/>
          <w:rtl/>
        </w:rPr>
        <w:t xml:space="preserve">كل الحسابات بنوع Decimal بدقة منضبطة وقواعد تقريب موحّدة معلنة، والأوقات كلها بتوقيت UTC تُعرض محليًا، والأمان يشمل التشفير نقلًا وتخزينًا والتوثيق الثنائي للعمليات الحساسة وسدّ ثغرات التحقق من التواقيع في نقاط الربط المرصودة سابقًا.</w:t>
      </w:r>
    </w:p>
    <w:p>
      <w:pPr>
        <w:pStyle w:val="Heading1"/>
        <w:bidi/>
        <w:spacing w:after="200" w:before="340"/>
      </w:pPr>
      <w:r>
        <w:rPr>
          <w:rFonts w:ascii="Sakkal Majalla" w:cs="Sakkal Majalla" w:eastAsia="Sakkal Majalla" w:hAnsi="Sakkal Majalla"/>
          <w:b/>
          <w:bCs/>
          <w:i w:val="false"/>
          <w:iCs w:val="false"/>
          <w:color w:val="1F3B57"/>
          <w:sz w:val="32"/>
          <w:szCs w:val="32"/>
          <w:rtl/>
        </w:rPr>
        <w:t xml:space="preserve">سابعًا: خارطة التنفيذ الموحّدة</w:t>
      </w:r>
    </w:p>
    <w:p>
      <w:pPr>
        <w:bidi/>
        <w:spacing w:after="160" w:line="300"/>
        <w:jc w:val="both"/>
      </w:pPr>
      <w:r>
        <w:rPr>
          <w:rFonts w:ascii="Sakkal Majalla" w:cs="Sakkal Majalla" w:eastAsia="Sakkal Majalla" w:hAnsi="Sakkal Majalla"/>
          <w:b w:val="false"/>
          <w:bCs w:val="false"/>
          <w:i w:val="false"/>
          <w:iCs w:val="false"/>
          <w:sz w:val="26"/>
          <w:szCs w:val="26"/>
          <w:rtl/>
        </w:rPr>
        <w:t xml:space="preserve">بدمج «الخطوات الخمس» الإدارية مع «المراحل الثلاث» الفنية نحصل على مسار واحد واضح، شرطه الوحيد: لا تبدأ المرحلة الأولى قبل حسم الأسئلة التسعة — لأن تغيير أي إجابة بعد البناء أصعب بكثير من الاتفاق عليها الآن.</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100"/>
      </w:tblGrid>
      <w:tr>
        <w:trPr>
          <w:tblHeader/>
        </w:trPr>
        <w:tc>
          <w:tcPr>
            <w:tcW w:type="dxa" w:w="13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المرحلة</w:t>
            </w:r>
          </w:p>
        </w:tc>
        <w:tc>
          <w:tcPr>
            <w:tcW w:type="dxa" w:w="42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نطاق العمل</w:t>
            </w:r>
          </w:p>
        </w:tc>
        <w:tc>
          <w:tcPr>
            <w:tcW w:type="dxa" w:w="4100"/>
            <w:shd w:fill="1F3B57"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color w:val="FFFFFF"/>
                <w:sz w:val="26"/>
                <w:szCs w:val="26"/>
                <w:rtl/>
              </w:rPr>
              <w:t xml:space="preserve">ما يظهر للإدارة</w:t>
            </w:r>
          </w:p>
        </w:tc>
      </w:tr>
      <w:tr>
        <w:tc>
          <w:tcPr>
            <w:tcW w:type="dxa" w:w="13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صفر</w:t>
            </w:r>
          </w:p>
        </w:tc>
        <w:tc>
          <w:tcPr>
            <w:tcW w:type="dxa" w:w="42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اجتماع حسم الأسئلة التسعة وتوثيق الإجابات في جدول القرار</w:t>
            </w:r>
          </w:p>
        </w:tc>
        <w:tc>
          <w:tcPr>
            <w:tcW w:type="dxa" w:w="41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وثيقة قرارات موقَّعة تتحول مباشرة إلى إعدادات النظام</w:t>
            </w:r>
          </w:p>
        </w:tc>
      </w:tr>
      <w:tr>
        <w:tc>
          <w:tcPr>
            <w:tcW w:type="dxa" w:w="13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1</w:t>
            </w:r>
          </w:p>
        </w:tc>
        <w:tc>
          <w:tcPr>
            <w:tcW w:type="dxa" w:w="42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نموذج البيانات + مصفوفة الصلاحيات + التحويل الذرّي الأساسي بالقيد المزدوج</w:t>
            </w:r>
          </w:p>
        </w:tc>
        <w:tc>
          <w:tcPr>
            <w:tcW w:type="dxa" w:w="41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زر «نقل» ونافذة بسيطة (من، إلى، كم، الملاحظة) — والطرفان لا ينفصلان أبدًا</w:t>
            </w:r>
          </w:p>
        </w:tc>
      </w:tr>
      <w:tr>
        <w:tc>
          <w:tcPr>
            <w:tcW w:type="dxa" w:w="13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2</w:t>
            </w:r>
          </w:p>
        </w:tc>
        <w:tc>
          <w:tcPr>
            <w:tcW w:type="dxa" w:w="42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محرّك الاقتطاع والعتبات + الاعتماد المتدرج + كشف الحساب مع التصدير (PDF/Excel بترويسة الشركة)</w:t>
            </w:r>
          </w:p>
        </w:tc>
        <w:tc>
          <w:tcPr>
            <w:tcW w:type="dxa" w:w="41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السجل مفهوم، تقرير اليوم لا يتشوّه، والإلغاء بضغطة واحدة داخل اليوم</w:t>
            </w:r>
          </w:p>
        </w:tc>
      </w:tr>
      <w:tr>
        <w:tc>
          <w:tcPr>
            <w:tcW w:type="dxa" w:w="1300"/>
            <w:shd w:fill="F2EBDD" w:val="clear"/>
            <w:tcMar>
              <w:top w:type="dxa" w:w="80"/>
              <w:left w:type="dxa" w:w="100"/>
              <w:bottom w:type="dxa" w:w="80"/>
              <w:right w:type="dxa" w:w="100"/>
            </w:tcMar>
            <w:vAlign w:val="center"/>
          </w:tcPr>
          <w:p>
            <w:pPr>
              <w:bidi/>
              <w:spacing w:after="40" w:line="276"/>
              <w:jc w:val="center"/>
            </w:pPr>
            <w:r>
              <w:rPr>
                <w:rFonts w:ascii="Sakkal Majalla" w:cs="Sakkal Majalla" w:eastAsia="Sakkal Majalla" w:hAnsi="Sakkal Majalla"/>
                <w:b/>
                <w:bCs/>
                <w:i w:val="false"/>
                <w:iCs w:val="false"/>
                <w:sz w:val="26"/>
                <w:szCs w:val="26"/>
                <w:rtl/>
              </w:rPr>
              <w:t xml:space="preserve">3</w:t>
            </w:r>
          </w:p>
        </w:tc>
        <w:tc>
          <w:tcPr>
            <w:tcW w:type="dxa" w:w="42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الإقفال اليومي + حالة «في الطريق» للإيداعات البنكية + تنبيهات الامتثال وتقارير الفجوات والمطابقة</w:t>
            </w:r>
          </w:p>
        </w:tc>
        <w:tc>
          <w:tcPr>
            <w:tcW w:type="dxa" w:w="41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أرقام معتمدة لا تتغيّر، ورصيد بنكي لا يُصرف منه قبل تأكيد وصوله</w:t>
            </w:r>
          </w:p>
        </w:tc>
      </w:tr>
    </w:tbl>
    <w:p>
      <w:pPr>
        <w:pStyle w:val="Heading2"/>
        <w:bidi/>
        <w:spacing w:after="160" w:before="260"/>
      </w:pPr>
      <w:r>
        <w:rPr>
          <w:rFonts w:ascii="Sakkal Majalla" w:cs="Sakkal Majalla" w:eastAsia="Sakkal Majalla" w:hAnsi="Sakkal Majalla"/>
          <w:b/>
          <w:bCs/>
          <w:i w:val="false"/>
          <w:iCs w:val="false"/>
          <w:color w:val="B8860B"/>
          <w:sz w:val="28"/>
          <w:szCs w:val="28"/>
          <w:rtl/>
        </w:rPr>
        <w:t xml:space="preserve">اختبارات القبول الإلزامية قبل التشغيل</w:t>
      </w:r>
    </w:p>
    <w:p>
      <w:pPr>
        <w:bidi/>
        <w:spacing w:after="160" w:line="300"/>
        <w:jc w:val="both"/>
      </w:pPr>
      <w:r>
        <w:rPr>
          <w:rFonts w:ascii="Sakkal Majalla" w:cs="Sakkal Majalla" w:eastAsia="Sakkal Majalla" w:hAnsi="Sakkal Majalla"/>
          <w:b w:val="false"/>
          <w:bCs w:val="false"/>
          <w:i w:val="false"/>
          <w:iCs w:val="false"/>
          <w:sz w:val="26"/>
          <w:szCs w:val="26"/>
          <w:rtl/>
        </w:rPr>
        <w:t xml:space="preserve">«تجربة كل الحالات — بما فيها الخاطئة» كما نصّت الورقة الإدارية، مترجمةً إلى اختبارات محددة:</w:t>
      </w:r>
    </w:p>
    <w:p>
      <w:pPr>
        <w:pStyle w:val="ListParagraph"/>
        <w:numPr>
          <w:ilvl w:val="0"/>
          <w:numId w:val="2"/>
        </w:numPr>
        <w:bidi/>
        <w:spacing w:after="120" w:line="300"/>
      </w:pPr>
      <w:r>
        <w:rPr>
          <w:rFonts w:ascii="Sakkal Majalla" w:cs="Sakkal Majalla" w:eastAsia="Sakkal Majalla" w:hAnsi="Sakkal Majalla"/>
          <w:b w:val="false"/>
          <w:bCs w:val="false"/>
          <w:i w:val="false"/>
          <w:iCs w:val="false"/>
          <w:sz w:val="26"/>
          <w:szCs w:val="26"/>
          <w:rtl/>
        </w:rPr>
        <w:t xml:space="preserve">اختبار التزامن: تحويلان متعاكسان في اللحظة نفسها — لا تعارض ولا رصيد سالب.</w:t>
      </w:r>
    </w:p>
    <w:p>
      <w:pPr>
        <w:pStyle w:val="ListParagraph"/>
        <w:numPr>
          <w:ilvl w:val="0"/>
          <w:numId w:val="2"/>
        </w:numPr>
        <w:bidi/>
        <w:spacing w:after="120" w:line="300"/>
      </w:pPr>
      <w:r>
        <w:rPr>
          <w:rFonts w:ascii="Sakkal Majalla" w:cs="Sakkal Majalla" w:eastAsia="Sakkal Majalla" w:hAnsi="Sakkal Majalla"/>
          <w:b w:val="false"/>
          <w:bCs w:val="false"/>
          <w:i w:val="false"/>
          <w:iCs w:val="false"/>
          <w:sz w:val="26"/>
          <w:szCs w:val="26"/>
          <w:rtl/>
        </w:rPr>
        <w:t xml:space="preserve">اختبار الانقطاع أثناء التنفيذ: إما تكتمل الحركة كلها أو لا يتغيّر شيء، وإعادة الإرسال لا تكرّرها.</w:t>
      </w:r>
    </w:p>
    <w:p>
      <w:pPr>
        <w:pStyle w:val="ListParagraph"/>
        <w:numPr>
          <w:ilvl w:val="0"/>
          <w:numId w:val="2"/>
        </w:numPr>
        <w:bidi/>
        <w:spacing w:after="120" w:line="300"/>
      </w:pPr>
      <w:r>
        <w:rPr>
          <w:rFonts w:ascii="Sakkal Majalla" w:cs="Sakkal Majalla" w:eastAsia="Sakkal Majalla" w:hAnsi="Sakkal Majalla"/>
          <w:b w:val="false"/>
          <w:bCs w:val="false"/>
          <w:i w:val="false"/>
          <w:iCs w:val="false"/>
          <w:sz w:val="26"/>
          <w:szCs w:val="26"/>
          <w:rtl/>
        </w:rPr>
        <w:t xml:space="preserve">اختبار محاولة السحب من صلاحية «إيداع فقط»: رفض خادمي مسجَّل، وتكرار المحاولات يولّد تنبيهًا.</w:t>
      </w:r>
    </w:p>
    <w:p>
      <w:pPr>
        <w:pStyle w:val="ListParagraph"/>
        <w:numPr>
          <w:ilvl w:val="0"/>
          <w:numId w:val="2"/>
        </w:numPr>
        <w:bidi/>
        <w:spacing w:after="120" w:line="300"/>
      </w:pPr>
      <w:r>
        <w:rPr>
          <w:rFonts w:ascii="Sakkal Majalla" w:cs="Sakkal Majalla" w:eastAsia="Sakkal Majalla" w:hAnsi="Sakkal Majalla"/>
          <w:b w:val="false"/>
          <w:bCs w:val="false"/>
          <w:i w:val="false"/>
          <w:iCs w:val="false"/>
          <w:sz w:val="26"/>
          <w:szCs w:val="26"/>
          <w:rtl/>
        </w:rPr>
        <w:t xml:space="preserve">مطابقة أرصدة كاملة بعد ألف حركة عشوائية مولَّدة آليًا: الرصيد المحسوب من القيود = الرصيد المخزَّن.</w:t>
      </w:r>
    </w:p>
    <w:p>
      <w:pPr>
        <w:pStyle w:val="Heading1"/>
        <w:bidi/>
        <w:spacing w:after="200" w:before="340"/>
      </w:pPr>
      <w:r>
        <w:rPr>
          <w:rFonts w:ascii="Sakkal Majalla" w:cs="Sakkal Majalla" w:eastAsia="Sakkal Majalla" w:hAnsi="Sakkal Majalla"/>
          <w:b/>
          <w:bCs/>
          <w:i w:val="false"/>
          <w:iCs w:val="false"/>
          <w:color w:val="1F3B57"/>
          <w:sz w:val="32"/>
          <w:szCs w:val="32"/>
          <w:rtl/>
        </w:rPr>
        <w:t xml:space="preserve">ثامنًا: الخلاصة — وثيقتان، قرار واحد</w:t>
      </w:r>
    </w:p>
    <w:p>
      <w:pPr>
        <w:bidi/>
        <w:spacing w:after="160" w:line="300"/>
        <w:jc w:val="both"/>
      </w:pPr>
      <w:r>
        <w:rPr>
          <w:rFonts w:ascii="Sakkal Majalla" w:cs="Sakkal Majalla" w:eastAsia="Sakkal Majalla" w:hAnsi="Sakkal Majalla"/>
          <w:b w:val="false"/>
          <w:bCs w:val="false"/>
          <w:i w:val="false"/>
          <w:iCs w:val="false"/>
          <w:sz w:val="26"/>
          <w:szCs w:val="26"/>
          <w:rtl/>
        </w:rPr>
        <w:t xml:space="preserve">ورقة النقاش أثبتت أن المشكلة حقيقية ومكلفة: مال يختفي من التقارير أيامًا بسبب نصف حركة. والتحليل الفني أثبت أن الحل جاهز التصميم وبمعايير مصرفية: حركة ذرّية بقيد مزدوج، صلاحيات خادمية، سجل تدقيق لا يُعبث به، وتكامل مباشر مع الصرافة والحوالات وقسم الذهب والمحاسبة عبر واجهة واحدة (REST API بمواصفات OpenAPI) تخدم الويب والموبايل ولوحة التلرات معًا.</w:t>
      </w:r>
    </w:p>
    <w:p>
      <w:pPr>
        <w:bidi/>
        <w:spacing w:after="160" w:line="300"/>
        <w:jc w:val="both"/>
      </w:pPr>
      <w:r>
        <w:rPr>
          <w:rFonts w:ascii="Sakkal Majalla" w:cs="Sakkal Majalla" w:eastAsia="Sakkal Majalla" w:hAnsi="Sakkal Majalla"/>
          <w:b w:val="false"/>
          <w:bCs w:val="false"/>
          <w:i w:val="false"/>
          <w:iCs w:val="false"/>
          <w:sz w:val="26"/>
          <w:szCs w:val="26"/>
          <w:rtl/>
        </w:rPr>
        <w:t xml:space="preserve">المطلوب من الإدارة اليوم ليس اعتماد تقنية — بل حسم تسعة أسئلة تشغيلية تعرفها من واقع عملها اليومي. وكل إجابة تدخل النظام إعدادًا قابلًا للتعديل لاحقًا ضمن الحوكمة نفسها. </w:t>
      </w:r>
      <w:r>
        <w:rPr>
          <w:rFonts w:ascii="Sakkal Majalla" w:cs="Sakkal Majalla" w:eastAsia="Sakkal Majalla" w:hAnsi="Sakkal Majalla"/>
          <w:b/>
          <w:bCs/>
          <w:i w:val="false"/>
          <w:iCs w:val="false"/>
          <w:color w:val="1F3B57"/>
          <w:sz w:val="26"/>
          <w:szCs w:val="26"/>
          <w:rtl/>
        </w:rPr>
        <w:t xml:space="preserve">بهذا تتحول وحدة التحويلات من «شاشة نقل» إلى نواة خزينة مركزية بمعايير مصرفية — الأساس الذي تُبنى عليه بقية وحدات النظام المالي الموحّد.</w:t>
      </w:r>
    </w:p>
    <w:p>
      <w:pPr>
        <w:pStyle w:val="Heading2"/>
        <w:bidi/>
        <w:spacing w:after="160" w:before="260"/>
      </w:pPr>
      <w:r>
        <w:rPr>
          <w:rFonts w:ascii="Sakkal Majalla" w:cs="Sakkal Majalla" w:eastAsia="Sakkal Majalla" w:hAnsi="Sakkal Majalla"/>
          <w:b/>
          <w:bCs/>
          <w:i w:val="false"/>
          <w:iCs w:val="false"/>
          <w:color w:val="B8860B"/>
          <w:sz w:val="28"/>
          <w:szCs w:val="28"/>
          <w:rtl/>
        </w:rPr>
        <w:t xml:space="preserve">جدول القرار</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F2EBDD"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bCs/>
                <w:i w:val="false"/>
                <w:iCs w:val="false"/>
                <w:sz w:val="26"/>
                <w:szCs w:val="26"/>
                <w:rtl/>
              </w:rPr>
              <w:t xml:space="preserve">تاريخ الاجتماع</w:t>
            </w:r>
          </w:p>
        </w:tc>
        <w:tc>
          <w:tcPr>
            <w:tcW w:type="dxa" w:w="6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
            </w:r>
          </w:p>
        </w:tc>
      </w:tr>
      <w:tr>
        <w:tc>
          <w:tcPr>
            <w:tcW w:type="dxa" w:w="3200"/>
            <w:shd w:fill="F2EBDD"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bCs/>
                <w:i w:val="false"/>
                <w:iCs w:val="false"/>
                <w:sz w:val="26"/>
                <w:szCs w:val="26"/>
                <w:rtl/>
              </w:rPr>
              <w:t xml:space="preserve">الحاضرون</w:t>
            </w:r>
          </w:p>
        </w:tc>
        <w:tc>
          <w:tcPr>
            <w:tcW w:type="dxa" w:w="6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
            </w:r>
          </w:p>
        </w:tc>
      </w:tr>
      <w:tr>
        <w:tc>
          <w:tcPr>
            <w:tcW w:type="dxa" w:w="3200"/>
            <w:shd w:fill="F2EBDD"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bCs/>
                <w:i w:val="false"/>
                <w:iCs w:val="false"/>
                <w:sz w:val="26"/>
                <w:szCs w:val="26"/>
                <w:rtl/>
              </w:rPr>
              <w:t xml:space="preserve">إجابات الأسئلة التسعة (س١–س٩)</w:t>
            </w:r>
          </w:p>
        </w:tc>
        <w:tc>
          <w:tcPr>
            <w:tcW w:type="dxa" w:w="6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
            </w:r>
          </w:p>
        </w:tc>
      </w:tr>
      <w:tr>
        <w:tc>
          <w:tcPr>
            <w:tcW w:type="dxa" w:w="3200"/>
            <w:shd w:fill="F2EBDD"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bCs/>
                <w:i w:val="false"/>
                <w:iCs w:val="false"/>
                <w:sz w:val="26"/>
                <w:szCs w:val="26"/>
                <w:rtl/>
              </w:rPr>
              <w:t xml:space="preserve">القرار العام: نمضي في التنفيذ</w:t>
            </w:r>
          </w:p>
        </w:tc>
        <w:tc>
          <w:tcPr>
            <w:tcW w:type="dxa" w:w="6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نعم / لا</w:t>
            </w:r>
          </w:p>
        </w:tc>
      </w:tr>
      <w:tr>
        <w:tc>
          <w:tcPr>
            <w:tcW w:type="dxa" w:w="3200"/>
            <w:shd w:fill="F2EBDD"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bCs/>
                <w:i w:val="false"/>
                <w:iCs w:val="false"/>
                <w:sz w:val="26"/>
                <w:szCs w:val="26"/>
                <w:rtl/>
              </w:rPr>
              <w:t xml:space="preserve">ملاحظات</w:t>
            </w:r>
          </w:p>
        </w:tc>
        <w:tc>
          <w:tcPr>
            <w:tcW w:type="dxa" w:w="6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
            </w:r>
          </w:p>
        </w:tc>
      </w:tr>
      <w:tr>
        <w:tc>
          <w:tcPr>
            <w:tcW w:type="dxa" w:w="3200"/>
            <w:shd w:fill="F2EBDD" w:val="clear"/>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bCs/>
                <w:i w:val="false"/>
                <w:iCs w:val="false"/>
                <w:sz w:val="26"/>
                <w:szCs w:val="26"/>
                <w:rtl/>
              </w:rPr>
              <w:t xml:space="preserve">التوقيع</w:t>
            </w:r>
          </w:p>
        </w:tc>
        <w:tc>
          <w:tcPr>
            <w:tcW w:type="dxa" w:w="6400"/>
            <w:tcMar>
              <w:top w:type="dxa" w:w="80"/>
              <w:left w:type="dxa" w:w="100"/>
              <w:bottom w:type="dxa" w:w="80"/>
              <w:right w:type="dxa" w:w="100"/>
            </w:tcMar>
            <w:vAlign w:val="center"/>
          </w:tcPr>
          <w:p>
            <w:pPr>
              <w:bidi/>
              <w:spacing w:after="40" w:line="276"/>
              <w:jc w:val="right"/>
            </w:pPr>
            <w:r>
              <w:rPr>
                <w:rFonts w:ascii="Sakkal Majalla" w:cs="Sakkal Majalla" w:eastAsia="Sakkal Majalla" w:hAnsi="Sakkal Majalla"/>
                <w:b w:val="false"/>
                <w:bCs w:val="false"/>
                <w:i w:val="false"/>
                <w:iCs w:val="false"/>
                <w:sz w:val="26"/>
                <w:szCs w:val="26"/>
                <w:rtl/>
              </w:rPr>
              <w:t xml:space="preserve"/>
            </w:r>
          </w:p>
        </w:tc>
      </w:tr>
    </w:tbl>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akkal Majalla" w:cs="Sakkal Majalla" w:eastAsia="Sakkal Majalla" w:hAnsi="Sakkal Majalla"/>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eastAsia="Sakkal Majalla" w:hAnsi="Sakkal Majalla"/>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22f5f1c0213f2f63ca879068da71a33e8fa65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2026-08-19T13:43:43.765Z</dcterms:created>
  <dcterms:modified xsi:type="dcterms:W3CDTF">2026-08-19T13:43:43.789Z</dcterms:modified>
</cp:coreProperties>
</file>

<file path=docProps/custom.xml><?xml version="1.0" encoding="utf-8"?>
<Properties xmlns="http://schemas.openxmlformats.org/officeDocument/2006/custom-properties" xmlns:vt="http://schemas.openxmlformats.org/officeDocument/2006/docPropsVTypes"/>
</file>