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  <w:contextualSpacing w:val="0"/>
      </w:pPr>
      <w:bookmarkStart w:id="0" w:colFirst="0" w:name="h.dfbyk5fwcunm" w:colLast="0"/>
      <w:bookmarkEnd w:id="0"/>
      <w:r w:rsidRPr="00000000" w:rsidR="00000000" w:rsidDel="00000000">
        <w:rPr>
          <w:rFonts w:cs="Georgia" w:hAnsi="Georgia" w:eastAsia="Georgia" w:ascii="Georgia"/>
          <w:b w:val="0"/>
          <w:color w:val="575757"/>
          <w:sz w:val="46"/>
          <w:highlight w:val="white"/>
          <w:rtl w:val="0"/>
        </w:rPr>
        <w:t xml:space="preserve">Advokátní kancelář Lovosice @ JUDr. Ivo Beránek, JUDr. Ilona Beránková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23"/>
        <w:contextualSpacing w:val="0"/>
        <w:jc w:val="center"/>
      </w:pPr>
      <w:r w:rsidRPr="00000000" w:rsidR="00000000" w:rsidDel="00000000">
        <w:rPr>
          <w:highlight w:val="white"/>
          <w:rtl w:val="0"/>
        </w:rPr>
        <w:t xml:space="preserve">xxxx @ právníci, advokáti, kancelář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" w:colFirst="0" w:name="h.cbhbdq3otpr2" w:colLast="0"/>
      <w:bookmarkEnd w:id="1"/>
      <w:r w:rsidRPr="00000000" w:rsidR="00000000" w:rsidDel="00000000">
        <w:rPr>
          <w:b w:val="0"/>
          <w:color w:val="2e4fc0"/>
          <w:sz w:val="34"/>
          <w:highlight w:val="white"/>
          <w:rtl w:val="0"/>
        </w:rPr>
        <w:t xml:space="preserve">Právníci @ Právníci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highlight w:val="white"/>
          <w:rtl w:val="0"/>
        </w:rPr>
        <w:t xml:space="preserve">Advokáti JUDr. Ivo Beránek a JUDr. Ilona Beránková působí v Lovosicích již od r. 2007. JUDr. Ivo Beránek je současně zakládajícím členem sdružení s názvem „Advokátní kancelář Benešová Beránek Blaha“ (</w:t>
      </w:r>
      <w:hyperlink r:id="rId5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www.akbbb.cz</w:t>
        </w:r>
      </w:hyperlink>
      <w:r w:rsidRPr="00000000" w:rsidR="00000000" w:rsidDel="00000000">
        <w:rPr>
          <w:highlight w:val="white"/>
          <w:rtl w:val="0"/>
        </w:rPr>
        <w:t xml:space="preserve">). JUDr. Ilona Beránková s tímto sdružením trvale spolupracuje. @ advokát, právník, právo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23"/>
        <w:contextualSpacing w:val="0"/>
      </w:pPr>
      <w:bookmarkStart w:id="2" w:colFirst="0" w:name="h.jrh082pdlynq" w:colLast="0"/>
      <w:bookmarkEnd w:id="2"/>
      <w:r w:rsidRPr="00000000" w:rsidR="00000000" w:rsidDel="00000000">
        <w:rPr>
          <w:rtl w:val="0"/>
        </w:rPr>
        <w:t xml:space="preserve">JUDr. Ivo Beránek, advokát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23" w:before="60"/>
        <w:ind w:left="720" w:hanging="359"/>
        <w:contextualSpacing w:val="1"/>
        <w:rPr>
          <w:b w:val="1"/>
          <w:color w:val="2e4fc0"/>
          <w:highlight w:val="white"/>
        </w:rPr>
      </w:pPr>
      <w:r w:rsidRPr="00000000" w:rsidR="00000000" w:rsidDel="00000000">
        <w:rPr>
          <w:b w:val="1"/>
          <w:color w:val="2e4fc0"/>
          <w:highlight w:val="white"/>
          <w:rtl w:val="0"/>
        </w:rPr>
        <w:t xml:space="preserve">Vzdělání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v roce 2007 složil advokátní zkoušku s prospěchovým stupněm výtečně,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2007- studijní stáž na Central European University, Budapest, zaměřená na právo EU a mezinárodní obchodní právo,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v roce 2006 složil rigorózní zkoušku a získal akademický titul JUDr.,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1998 - 2003 - magisterské studium práva na Právnické fakultě Univerzity Karlovy Praze.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23" w:before="60"/>
        <w:ind w:left="72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Praxe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od roku 2012 působí ve sdružení advokátů s názvem Benešová Beránek Blaha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od srpna 2007 působil jako samostatný advokát,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od roku 2005 do roku 2007 pracoval jako advokátní koncipient v přední české advokátní kanceláři Císař, Češka, Smutný a spol.,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od roku 2003 do roku 2005 působil jako právník Statutárního města Ústí nad Labem.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23" w:before="60"/>
        <w:ind w:left="72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Zaměření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korporátní právo (fúze, akvizice, zakládání společností, právní podpora činnosti jednotlivých orgánů společností, právní postavení orgánů společnosti, vztahy mezi společníky či akcionáři obchodních společností, due diligence apod.),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obchodní spory (zastupování před obecnými i rozhodčími soudy),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smluvní právo v rámci občanskoprávních a obchodněprávních vztahů,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insolvenční právo,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komunální právo a správní právo,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horní právo.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323" w:before="60"/>
        <w:ind w:left="72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Pracovní jazyky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čeština,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angličtina.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23"/>
        <w:contextualSpacing w:val="0"/>
      </w:pPr>
      <w:bookmarkStart w:id="3" w:colFirst="0" w:name="h.16z74ha0rb4a" w:colLast="0"/>
      <w:bookmarkEnd w:id="3"/>
      <w:r w:rsidRPr="00000000" w:rsidR="00000000" w:rsidDel="00000000">
        <w:rPr>
          <w:rtl w:val="0"/>
        </w:rPr>
        <w:t xml:space="preserve">JUDr. Ilona Beránková, advokátka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23" w:before="60"/>
        <w:ind w:left="720" w:hanging="359"/>
        <w:contextualSpacing w:val="1"/>
        <w:rPr>
          <w:b w:val="1"/>
          <w:color w:val="2e4fc0"/>
          <w:highlight w:val="white"/>
        </w:rPr>
      </w:pPr>
      <w:r w:rsidRPr="00000000" w:rsidR="00000000" w:rsidDel="00000000">
        <w:rPr>
          <w:b w:val="1"/>
          <w:color w:val="2e4fc0"/>
          <w:highlight w:val="white"/>
          <w:rtl w:val="0"/>
        </w:rPr>
        <w:t xml:space="preserve">Vzdělání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2012 - rigorózní zkouška na Právnické fakultě Univerzity Karlovy, udělen titul JUDr.,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2011- advokátní zkouška,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2002 - 2007 - magisterské studium práva na Právnické fakultě Masarykovy univerzity v Brně, jeden semestr studia na Právnické fakultě Universität des Saarlandes v Německu.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23" w:before="60"/>
        <w:ind w:left="72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Praxe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2011 - samostatná advokátka,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2008 - advokátní koncipientka v advokátní kanceláři JUDr. Ivo Beránka,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2007 - podniková právnička společností CHEMOPETROL, a.s. a UNIPETROL RPA, s.r.o.,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2006 - studijní praxe v advokátní kanceláři JUDr. Richarda Malečka.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23" w:before="60"/>
        <w:ind w:left="72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Zaměření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korporátní právo,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smluvní právo v rámci občanskoprávních a obchodněprávních vztahů,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občanskoprávní spory,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insolvenční právo,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bytové právo,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pracovní právo,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rodinné právo,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trestní právo.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23" w:before="60"/>
        <w:ind w:left="72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Pracovní jazyky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čeština,</w:t>
      </w:r>
    </w:p>
    <w:p w:rsidP="00000000" w:rsidRPr="00000000" w:rsidR="00000000" w:rsidDel="00000000" w:rsidRDefault="00000000">
      <w:pPr>
        <w:numPr>
          <w:ilvl w:val="1"/>
          <w:numId w:val="8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highlight w:val="white"/>
          <w:rtl w:val="0"/>
        </w:rPr>
        <w:t xml:space="preserve">němčina.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line="323"/>
        <w:contextualSpacing w:val="0"/>
      </w:pPr>
      <w:bookmarkStart w:id="4" w:colFirst="0" w:name="h.2w5m0i27qsip" w:colLast="0"/>
      <w:bookmarkEnd w:id="4"/>
      <w:r w:rsidRPr="00000000" w:rsidR="00000000" w:rsidDel="00000000">
        <w:rPr>
          <w:rtl w:val="0"/>
        </w:rPr>
        <w:t xml:space="preserve">Mgr. et Bc. Kateřina Stejskalová, advokátní koncipientka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line="323" w:before="60"/>
        <w:ind w:left="720" w:hanging="359"/>
        <w:contextualSpacing w:val="1"/>
        <w:rPr>
          <w:b w:val="1"/>
          <w:color w:val="2e4fc0"/>
          <w:highlight w:val="white"/>
        </w:rPr>
      </w:pPr>
      <w:r w:rsidRPr="00000000" w:rsidR="00000000" w:rsidDel="00000000">
        <w:rPr>
          <w:b w:val="1"/>
          <w:color w:val="2e4fc0"/>
          <w:sz w:val="26"/>
          <w:highlight w:val="white"/>
          <w:rtl w:val="0"/>
        </w:rPr>
        <w:t xml:space="preserve">Vzdělání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2007 - 2013 - magisterské studium práva na Právnické fakultě Univerzity Karlovy v Praze,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2010 - 2013 - bakalářský studijní program Manažerská studia - řízení lidských zdrojů Univerzita Jana Amose Komenského Praha.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line="323" w:before="60"/>
        <w:ind w:left="72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Praxe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2013 – advokátní koncipientka v advokátní kanceláři Benešová Beránek Blaha,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2011 - advokátní praktikantka v advokátní kanceláři JUDr. Ivo Beránka,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2008 - 2009 - junior asistent v oddělení vymáhání pohledávek v advokátní kanceláři Mašek advokáti s.r.o.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line="323" w:before="60"/>
        <w:ind w:left="72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Zaměření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korporátní právo,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smluvní právo v rámci občanskoprávních a obchodněprávních vztahů,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občanskoprávní spory,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insolvenční právo,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bytové právo,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pracovní právo,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rodinné právo,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trestní právo.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line="323" w:before="60"/>
        <w:ind w:left="72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Pracovní jazyky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čeština,</w:t>
      </w:r>
    </w:p>
    <w:p w:rsidP="00000000" w:rsidRPr="00000000" w:rsidR="00000000" w:rsidDel="00000000" w:rsidRDefault="00000000">
      <w:pPr>
        <w:numPr>
          <w:ilvl w:val="1"/>
          <w:numId w:val="13"/>
        </w:numPr>
        <w:spacing w:lineRule="auto" w:line="323" w:before="60"/>
        <w:ind w:left="1440" w:hanging="359"/>
        <w:contextualSpacing w:val="1"/>
        <w:rPr>
          <w:color w:val="2e4fc0"/>
          <w:highlight w:val="white"/>
        </w:rPr>
      </w:pPr>
      <w:r w:rsidRPr="00000000" w:rsidR="00000000" w:rsidDel="00000000">
        <w:rPr>
          <w:color w:val="2e4fc0"/>
          <w:sz w:val="26"/>
          <w:highlight w:val="white"/>
          <w:rtl w:val="0"/>
        </w:rPr>
        <w:t xml:space="preserve">angličtina.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5" w:colFirst="0" w:name="h.move98sfwq7m" w:colLast="0"/>
      <w:bookmarkEnd w:id="5"/>
      <w:r w:rsidRPr="00000000" w:rsidR="00000000" w:rsidDel="00000000">
        <w:rPr>
          <w:b w:val="0"/>
          <w:color w:val="2e4fc0"/>
          <w:sz w:val="34"/>
          <w:highlight w:val="white"/>
          <w:rtl w:val="0"/>
        </w:rPr>
        <w:t xml:space="preserve">Poskytované právní služby @ Služby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Advokátní kancelář je zaměřena na poskytování komplexních právních služeb z oblasti občanského, obchodního, rodinného, pracovního, správního a trestního práva spočívajících v zastupování v řízeních před soudy a jinými orgány, v poskytování právního poradenství, v sepisování smluv a jiných listin a v dalších formách právní pomoci.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mj5f6m69jl9x" w:colLast="0"/>
      <w:bookmarkEnd w:id="6"/>
      <w:r w:rsidRPr="00000000" w:rsidR="00000000" w:rsidDel="00000000">
        <w:rPr>
          <w:rtl w:val="0"/>
        </w:rPr>
        <w:t xml:space="preserve">Občanské právo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problematika vlastnického práva a ostatních věcných práv (zajištění kompletního právního servisu při převodech nemovitostí včetně advokátních úschov),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b w:val="1"/>
          <w:highlight w:val="white"/>
          <w:rtl w:val="0"/>
        </w:rPr>
        <w:t xml:space="preserve">bytové právo</w:t>
      </w:r>
      <w:r w:rsidRPr="00000000" w:rsidR="00000000" w:rsidDel="00000000">
        <w:rPr>
          <w:highlight w:val="white"/>
          <w:rtl w:val="0"/>
        </w:rPr>
        <w:t xml:space="preserve"> (prohlášení vlastníka budovy, smlouvy o převodu jednotek, společenství vlastníků jednotek),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b w:val="1"/>
          <w:highlight w:val="white"/>
          <w:rtl w:val="0"/>
        </w:rPr>
        <w:t xml:space="preserve">nájemní a podnájemní vztahy</w:t>
      </w:r>
      <w:r w:rsidRPr="00000000" w:rsidR="00000000" w:rsidDel="00000000">
        <w:rPr>
          <w:highlight w:val="white"/>
          <w:rtl w:val="0"/>
        </w:rPr>
        <w:t xml:space="preserve"> spojené s byty a nebytovými prostory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závazkové právo (sepis a posuzování smluv),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pohledávky, jejich vznik, zajišťování (zástavy, ručení, zajišťovací převody, postoupení) a vymáhání,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náhrady škod, bezdůvodné obohacení,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dědické právo,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ochrana osobnosti,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autorské právo,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zastupování před soudy všech stupňů včetně Ústavního soudu ČR,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zastupování fyzických osob v insolvenčním řízení při tzv. osobním bankrotu za účelem dosažení </w:t>
      </w:r>
      <w:r w:rsidRPr="00000000" w:rsidR="00000000" w:rsidDel="00000000">
        <w:rPr>
          <w:b w:val="1"/>
          <w:highlight w:val="white"/>
          <w:rtl w:val="0"/>
        </w:rPr>
        <w:t xml:space="preserve">oddlužení</w:t>
      </w:r>
      <w:r w:rsidRPr="00000000" w:rsidR="00000000" w:rsidDel="00000000">
        <w:rPr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7" w:colFirst="0" w:name="h.44viy4ses3r7" w:colLast="0"/>
      <w:bookmarkEnd w:id="7"/>
      <w:r w:rsidRPr="00000000" w:rsidR="00000000" w:rsidDel="00000000">
        <w:rPr>
          <w:rtl w:val="0"/>
        </w:rPr>
        <w:t xml:space="preserve">Obchodní právo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b w:val="1"/>
          <w:highlight w:val="white"/>
          <w:rtl w:val="0"/>
        </w:rPr>
        <w:t xml:space="preserve">zakládání společností</w:t>
      </w:r>
      <w:r w:rsidRPr="00000000" w:rsidR="00000000" w:rsidDel="00000000">
        <w:rPr>
          <w:highlight w:val="white"/>
          <w:rtl w:val="0"/>
        </w:rPr>
        <w:t xml:space="preserve"> - </w:t>
      </w:r>
      <w:r w:rsidRPr="00000000" w:rsidR="00000000" w:rsidDel="00000000">
        <w:rPr>
          <w:b w:val="1"/>
          <w:highlight w:val="white"/>
          <w:rtl w:val="0"/>
        </w:rPr>
        <w:t xml:space="preserve">založení s. r. o.</w:t>
      </w:r>
      <w:r w:rsidRPr="00000000" w:rsidR="00000000" w:rsidDel="00000000">
        <w:rPr>
          <w:highlight w:val="white"/>
          <w:rtl w:val="0"/>
        </w:rPr>
        <w:t xml:space="preserve">, změny a transformace společností, akvizice,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převody obchodních podílů, prodeje podniků, změny právních forem, řízená likvidace společností,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právní pomoc při organizaci valných hromad a zasedání statutárních orgánů společností,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sepis a posouzení smluv uzavíraných mezi podnikateli, jednání s protistranou,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b w:val="1"/>
          <w:highlight w:val="white"/>
          <w:rtl w:val="0"/>
        </w:rPr>
        <w:t xml:space="preserve">zajišťování pohledávek</w:t>
      </w:r>
      <w:r w:rsidRPr="00000000" w:rsidR="00000000" w:rsidDel="00000000">
        <w:rPr>
          <w:highlight w:val="white"/>
          <w:rtl w:val="0"/>
        </w:rPr>
        <w:t xml:space="preserve"> (zástavy, ručení, zajišťovací převody, postoupení), jejich</w:t>
      </w:r>
      <w:r w:rsidRPr="00000000" w:rsidR="00000000" w:rsidDel="00000000">
        <w:rPr>
          <w:b w:val="1"/>
          <w:highlight w:val="white"/>
          <w:rtl w:val="0"/>
        </w:rPr>
        <w:t xml:space="preserve">vymáhání</w:t>
      </w:r>
      <w:r w:rsidRPr="00000000" w:rsidR="00000000" w:rsidDel="00000000">
        <w:rPr>
          <w:highlight w:val="white"/>
          <w:rtl w:val="0"/>
        </w:rPr>
        <w:t xml:space="preserve"> a správa,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hospodářská soutěž,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veřejné zakázky,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průmyslová práva,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směnečné právo,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insolvenční právo,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zastupování v soudních a rozhodčích řízeních.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8" w:colFirst="0" w:name="h.o9lc0ek6zqbk" w:colLast="0"/>
      <w:bookmarkEnd w:id="8"/>
      <w:r w:rsidRPr="00000000" w:rsidR="00000000" w:rsidDel="00000000">
        <w:rPr>
          <w:rtl w:val="0"/>
        </w:rPr>
        <w:t xml:space="preserve">Rodinné právo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společné jmění manželů (změna rozsahu, vypořádání),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předmanželské smlouvy,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rodičovská práva k dětem, úprava poměrů nezletilých dětí pro dobu před a po rozvodu manželství,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zastupování klientů v rozvodovém řízení,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řešení výživného mezi manžely, mezi rozvedenými manžely, mezi rodiči a dětmi a ostatními příbuznými, výživné a úhrada nákladů neprovdané matky dítěte.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9" w:colFirst="0" w:name="h.gorruvntb1ba" w:colLast="0"/>
      <w:bookmarkEnd w:id="9"/>
      <w:r w:rsidRPr="00000000" w:rsidR="00000000" w:rsidDel="00000000">
        <w:rPr>
          <w:rtl w:val="0"/>
        </w:rPr>
        <w:t xml:space="preserve">Pracovní právo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obecné právní poradenství v pracovněprávních otázkách,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pracovní smlouvy, manažerské smlouvy, dohody o pracovní činnosti a provedení práce, změny a ukončení pracovněprávních vztahů, odstupné,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dohody o hmotné odpovědnosti,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vnitřní předpisy zaměstnavatele,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náhrada škody, pracovní úrazy, nemoci z povolání,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zastupování zaměstnanců i zaměstnavatelů při soudním i mimosoudním řešení pracovněprávních sporů.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9iitneivfu0a" w:colLast="0"/>
      <w:bookmarkEnd w:id="10"/>
      <w:r w:rsidRPr="00000000" w:rsidR="00000000" w:rsidDel="00000000">
        <w:rPr>
          <w:rtl w:val="0"/>
        </w:rPr>
        <w:t xml:space="preserve">Správní právo a ústavní právo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zastupování ve správním a přestupkovém řízení, v řízení před katastrálními, živnostenskými a stavebními úřady,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zastupování ve správním soudnictví, správní žaloby, kasační stížnosti,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zastupování v řízení před Ústavním soudem České republiky při řešení ústavních stížností,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komunální právo,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stavební právo,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horní právo.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1" w:colFirst="0" w:name="h.1ra7a5wdx4wg" w:colLast="0"/>
      <w:bookmarkEnd w:id="11"/>
      <w:r w:rsidRPr="00000000" w:rsidR="00000000" w:rsidDel="00000000">
        <w:rPr>
          <w:rtl w:val="0"/>
        </w:rPr>
        <w:t xml:space="preserve">Trestní právo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zastupování v přípravném řízení na základě plné moci i ex offo,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obhajoba před soudem,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zastupování poškozených v adhezním řízení,</w:t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posuzování jednání z hlediska možných trestněprávních důsledků.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2" w:colFirst="0" w:name="h.ks1z10ehpw7i" w:colLast="0"/>
      <w:bookmarkEnd w:id="12"/>
      <w:r w:rsidRPr="00000000" w:rsidR="00000000" w:rsidDel="00000000">
        <w:rPr>
          <w:b w:val="0"/>
          <w:color w:val="2e4fc0"/>
          <w:sz w:val="34"/>
          <w:highlight w:val="white"/>
          <w:rtl w:val="0"/>
        </w:rPr>
        <w:t xml:space="preserve">Advokacie on-line</w:t>
      </w:r>
    </w:p>
    <w:p w:rsidP="00000000" w:rsidRPr="00000000" w:rsidR="00000000" w:rsidDel="00000000" w:rsidRDefault="00000000">
      <w:pPr>
        <w:spacing w:lineRule="auto" w:line="323"/>
        <w:contextualSpacing w:val="0"/>
        <w:jc w:val="center"/>
      </w:pPr>
      <w:r w:rsidRPr="00000000" w:rsidR="00000000" w:rsidDel="00000000">
        <w:rPr>
          <w:highlight w:val="white"/>
          <w:rtl w:val="0"/>
        </w:rPr>
        <w:t xml:space="preserve">Advokátní kancelář JUDr. Ivo Beránka poskytuje některé právní služby prostřednictvím internetu, aniž by klient musel navštívit advokátní kancelář.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3" w:colFirst="0" w:name="h.u6efepxrd4x0" w:colLast="0"/>
      <w:bookmarkEnd w:id="13"/>
      <w:r w:rsidRPr="00000000" w:rsidR="00000000" w:rsidDel="00000000">
        <w:rPr>
          <w:rtl w:val="0"/>
        </w:rPr>
        <w:t xml:space="preserve">Příklady služeb advokacie on-line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b w:val="1"/>
          <w:highlight w:val="white"/>
          <w:rtl w:val="0"/>
        </w:rPr>
        <w:t xml:space="preserve">internetové právní poradenství</w:t>
      </w:r>
      <w:r w:rsidRPr="00000000" w:rsidR="00000000" w:rsidDel="00000000">
        <w:rPr>
          <w:highlight w:val="white"/>
          <w:rtl w:val="0"/>
        </w:rPr>
        <w:t xml:space="preserve"> ze všech oblastí českého práva,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sepis a posuzování smluv včetně smluv o převodu nemovitostí,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sepis žalob (žaloby na zaplacení dlužné částky, na náhradu škody, na vydání věci, na vyklizení nemovitosti…),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sepis návrhů a dohod potřebných pro rozvod manželství,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sepis odvolání, návrhů na exekuci,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sepis insolvenčních návrhů včetně návrhů na povolení oddlužení při tzv. osobním bankrotu,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zakládání a změny společností,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vyhotovení směnky a podobně.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4" w:colFirst="0" w:name="h.ygkz966yko12" w:colLast="0"/>
      <w:bookmarkEnd w:id="14"/>
      <w:r w:rsidRPr="00000000" w:rsidR="00000000" w:rsidDel="00000000">
        <w:rPr>
          <w:rtl w:val="0"/>
        </w:rPr>
        <w:t xml:space="preserve">Postup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323" w:before="60"/>
        <w:ind w:left="720" w:hanging="359"/>
        <w:contextualSpacing w:val="1"/>
        <w:rPr/>
      </w:pPr>
      <w:hyperlink r:id="rId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Kontaktujte nás</w:t>
        </w:r>
      </w:hyperlink>
      <w:r w:rsidRPr="00000000" w:rsidR="00000000" w:rsidDel="00000000">
        <w:rPr>
          <w:highlight w:val="white"/>
          <w:rtl w:val="0"/>
        </w:rPr>
        <w:t xml:space="preserve"> a v textu uveďte Váš dotaz nebo požadavek, a my Vám obratem sdělíme cenu a vyžádáme si od Vás doplňující informace, případně listiny.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V případě souhlasu dodáte požadované listiny.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Vypracovaný dokument Vám podle Vaší volby zašleme poštou na dobírku nebo e-mailem po obdržení platby bankou. Hotovost je také možno složit v sídle advokátní kanceláře.</w:t>
      </w:r>
    </w:p>
    <w:p w:rsidP="00000000" w:rsidRPr="00000000" w:rsidR="00000000" w:rsidDel="00000000" w:rsidRDefault="00000000">
      <w:pPr>
        <w:spacing w:lineRule="auto" w:line="323"/>
        <w:contextualSpacing w:val="0"/>
      </w:pPr>
      <w:r w:rsidRPr="00000000" w:rsidR="00000000" w:rsidDel="00000000">
        <w:rPr>
          <w:highlight w:val="white"/>
          <w:rtl w:val="0"/>
        </w:rPr>
        <w:t xml:space="preserve">V některých komplikovanějších případech, ve kterých není vhodné právní věc řešit prostřednictvím komunikace na dálku, Vám samozřejmě nabídneme osobní schůzku.</w:t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15" w:colFirst="0" w:name="h.hto20v8op0i0" w:colLast="0"/>
      <w:bookmarkEnd w:id="15"/>
      <w:r w:rsidRPr="00000000" w:rsidR="00000000" w:rsidDel="00000000">
        <w:rPr>
          <w:b w:val="0"/>
          <w:color w:val="2e4fc0"/>
          <w:sz w:val="34"/>
          <w:highlight w:val="white"/>
          <w:rtl w:val="0"/>
        </w:rPr>
        <w:t xml:space="preserve">Odměna za právní služby @ Odměna</w:t>
      </w:r>
    </w:p>
    <w:p w:rsidP="00000000" w:rsidRPr="00000000" w:rsidR="00000000" w:rsidDel="00000000" w:rsidRDefault="00000000">
      <w:pPr>
        <w:spacing w:lineRule="auto" w:line="323"/>
        <w:contextualSpacing w:val="0"/>
        <w:jc w:val="center"/>
      </w:pPr>
      <w:r w:rsidRPr="00000000" w:rsidR="00000000" w:rsidDel="00000000">
        <w:rPr>
          <w:highlight w:val="white"/>
          <w:rtl w:val="0"/>
        </w:rPr>
        <w:t xml:space="preserve">Cena právní služby poskytované klientovi se určuje po dohodě s klientem a respektuje pravidla stanovená v zákoně o advokacii (zákon č. 85/1996 Sb.) a advokátním tarifu (vyhláška ministerstva spravedlnosti č. 177/1996 Sb.). Podle odborné a časové náročnosti, potřeby použití cizího jazyka nebo cizího právního řádu při poskytování právní služby může být odměna sjednána více způsoby.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6" w:colFirst="0" w:name="h.c7qnnsv5gcgu" w:colLast="0"/>
      <w:bookmarkEnd w:id="16"/>
      <w:r w:rsidRPr="00000000" w:rsidR="00000000" w:rsidDel="00000000">
        <w:rPr>
          <w:rtl w:val="0"/>
        </w:rPr>
        <w:t xml:space="preserve">Časová odměna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Odměna počítaná za každou započatou čtvrthodinu poskytování právních služeb.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Hodinová sazba se dle povahy věci pohybuje v rozmezí 1.000 až 3.500 Kč.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Klient je vždy informován o předpokládané časové náročnosti poskytované právní služby.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7" w:colFirst="0" w:name="h.1yl6uq60cgq3" w:colLast="0"/>
      <w:bookmarkEnd w:id="17"/>
      <w:r w:rsidRPr="00000000" w:rsidR="00000000" w:rsidDel="00000000">
        <w:rPr>
          <w:rtl w:val="0"/>
        </w:rPr>
        <w:t xml:space="preserve">Úkonová odměna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Odměna je stanovená podle počtu úkonů právní služby, které budou v konkrétní věci učiněny.</w:t>
      </w:r>
    </w:p>
    <w:p w:rsidP="00000000" w:rsidRPr="00000000" w:rsidR="00000000" w:rsidDel="00000000" w:rsidRDefault="00000000">
      <w:pPr>
        <w:numPr>
          <w:ilvl w:val="0"/>
          <w:numId w:val="14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Fixní částka za 1 úkon je dle povahy věci přímo stanovena advokátním tarifem.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8" w:colFirst="0" w:name="h.fn8d1840kwl8" w:colLast="0"/>
      <w:bookmarkEnd w:id="18"/>
      <w:r w:rsidRPr="00000000" w:rsidR="00000000" w:rsidDel="00000000">
        <w:rPr>
          <w:rtl w:val="0"/>
        </w:rPr>
        <w:t xml:space="preserve">Paušální odměna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Tento způsob sjednání odměny za poskytování právní služby je vhodný zejména pro delší a užší spolupráci advokáta a klienta.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Výše odměny je stanovena určitou měsíční částkou.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Částka představuje odměnu za právní služby v určitém maximálním objemu poskytnuté klientovi.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9" w:colFirst="0" w:name="h.qqoi5ss98krx" w:colLast="0"/>
      <w:bookmarkEnd w:id="19"/>
      <w:r w:rsidRPr="00000000" w:rsidR="00000000" w:rsidDel="00000000">
        <w:rPr>
          <w:rtl w:val="0"/>
        </w:rPr>
        <w:t xml:space="preserve">Pevně stanovená odměna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Smluvní odměna, za kterou advokátní kancelář nabízí komplexní vyřízení určitých případů.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0" w:colFirst="0" w:name="h.fiz3aitl29cw" w:colLast="0"/>
      <w:bookmarkEnd w:id="20"/>
      <w:r w:rsidRPr="00000000" w:rsidR="00000000" w:rsidDel="00000000">
        <w:rPr>
          <w:rtl w:val="0"/>
        </w:rPr>
        <w:t xml:space="preserve">Odměna ve formě success fee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line="323" w:before="60"/>
        <w:ind w:left="720" w:hanging="359"/>
        <w:contextualSpacing w:val="1"/>
        <w:rPr/>
      </w:pPr>
      <w:r w:rsidRPr="00000000" w:rsidR="00000000" w:rsidDel="00000000">
        <w:rPr>
          <w:highlight w:val="white"/>
          <w:rtl w:val="0"/>
        </w:rPr>
        <w:t xml:space="preserve">Odměna sjednaná s klientem procentem z přisouzené částky.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  <w:contextualSpacing w:val="0"/>
      </w:pPr>
      <w:bookmarkStart w:id="21" w:colFirst="0" w:name="h.7vcdg61sohfl" w:colLast="0"/>
      <w:bookmarkEnd w:id="21"/>
      <w:r w:rsidRPr="00000000" w:rsidR="00000000" w:rsidDel="00000000">
        <w:rPr>
          <w:b w:val="0"/>
          <w:color w:val="2e4fc0"/>
          <w:sz w:val="34"/>
          <w:highlight w:val="white"/>
          <w:rtl w:val="0"/>
        </w:rPr>
        <w:t xml:space="preserve">Kontaktujte nás @ Kontakt</w:t>
      </w:r>
    </w:p>
    <w:p w:rsidP="00000000" w:rsidRPr="00000000" w:rsidR="00000000" w:rsidDel="00000000" w:rsidRDefault="00000000">
      <w:pPr>
        <w:contextualSpacing w:val="0"/>
        <w:jc w:val="center"/>
      </w:pPr>
      <w:hyperlink w:anchor="h.cd1ymzn7qayl">
        <w:r w:rsidRPr="00000000" w:rsidR="00000000" w:rsidDel="00000000">
          <w:rPr>
            <w:color w:val="1155cc"/>
            <w:u w:val="single"/>
            <w:rtl w:val="0"/>
          </w:rPr>
          <w:t xml:space="preserve">Napište nám</w:t>
        </w:r>
      </w:hyperlink>
      <w:r w:rsidRPr="00000000" w:rsidR="00000000" w:rsidDel="00000000">
        <w:rPr>
          <w:rtl w:val="0"/>
        </w:rPr>
        <w:t xml:space="preserve"> nebo si sjednejte schůzku na telefonním čísle </w:t>
      </w:r>
      <w:r w:rsidRPr="00000000" w:rsidR="00000000" w:rsidDel="00000000">
        <w:rPr>
          <w:b w:val="1"/>
          <w:rtl w:val="0"/>
        </w:rPr>
        <w:t xml:space="preserve">728 255 584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23" w:before="60"/>
        <w:ind w:left="720" w:hanging="359"/>
        <w:contextualSpacing w:val="1"/>
        <w:rPr>
          <w:b w:val="1"/>
          <w:highlight w:val="white"/>
        </w:rPr>
      </w:pPr>
      <w:r w:rsidRPr="00000000" w:rsidR="00000000" w:rsidDel="00000000">
        <w:rPr>
          <w:b w:val="1"/>
          <w:highlight w:val="white"/>
          <w:rtl w:val="0"/>
        </w:rPr>
        <w:t xml:space="preserve">Otevírací doba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23" w:before="60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Po 9.00 – 13.00 hod.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23" w:before="60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Út 13.00 – 17.00 hod.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23" w:before="60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St 13.00 – 17.00 hod.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23" w:before="60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Čt 13.00 – 17.00 hod.</w:t>
      </w:r>
    </w:p>
    <w:p w:rsidP="00000000" w:rsidRPr="00000000" w:rsidR="00000000" w:rsidDel="00000000" w:rsidRDefault="00000000">
      <w:pPr>
        <w:spacing w:lineRule="auto" w:line="323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23" w:before="60"/>
        <w:ind w:left="720" w:hanging="359"/>
        <w:contextualSpacing w:val="1"/>
        <w:rPr>
          <w:b w:val="1"/>
          <w:highlight w:val="white"/>
        </w:rPr>
      </w:pPr>
      <w:r w:rsidRPr="00000000" w:rsidR="00000000" w:rsidDel="00000000">
        <w:rPr>
          <w:b w:val="1"/>
          <w:highlight w:val="white"/>
          <w:rtl w:val="0"/>
        </w:rPr>
        <w:t xml:space="preserve">Pobočka Lovosice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23" w:before="60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Osvoboditelů 1228/30, 410 02 Lovosice, (Rezidence Orbis - 1. patro, vchod zezadu)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23" w:before="60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Telefon: +420 414 120 030,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23" w:before="60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Mobil: +420 728 255 584,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23" w:before="60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E-mail: berankova [zavináč] ak-beranek.cz</w:t>
      </w:r>
    </w:p>
    <w:p w:rsidP="00000000" w:rsidRPr="00000000" w:rsidR="00000000" w:rsidDel="00000000" w:rsidRDefault="00000000">
      <w:pPr>
        <w:spacing w:lineRule="auto" w:line="323" w:before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323" w:before="60"/>
        <w:ind w:left="720" w:hanging="359"/>
        <w:contextualSpacing w:val="1"/>
        <w:rPr>
          <w:b w:val="1"/>
          <w:highlight w:val="white"/>
        </w:rPr>
      </w:pPr>
      <w:r w:rsidRPr="00000000" w:rsidR="00000000" w:rsidDel="00000000">
        <w:rPr>
          <w:b w:val="1"/>
          <w:highlight w:val="white"/>
          <w:rtl w:val="0"/>
        </w:rPr>
        <w:t xml:space="preserve">Pobočka Praha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23" w:before="60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Sokolovská 47/73,186 00 Praha 8,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23" w:before="60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Telefon: +420 222 318 858,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23" w:before="60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Mobil: +420 723 242 134,</w:t>
      </w:r>
    </w:p>
    <w:p w:rsidP="00000000" w:rsidRPr="00000000" w:rsidR="00000000" w:rsidDel="00000000" w:rsidRDefault="00000000">
      <w:pPr>
        <w:numPr>
          <w:ilvl w:val="1"/>
          <w:numId w:val="10"/>
        </w:numPr>
        <w:spacing w:lineRule="auto" w:line="323" w:before="60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E-mail: beranek [zavináč] akbbb.cz</w:t>
      </w:r>
    </w:p>
    <w:p w:rsidP="00000000" w:rsidRPr="00000000" w:rsidR="00000000" w:rsidDel="00000000" w:rsidRDefault="00000000">
      <w:pPr>
        <w:pStyle w:val="Heading3"/>
        <w:spacing w:lineRule="auto" w:line="323" w:before="60"/>
        <w:contextualSpacing w:val="0"/>
      </w:pPr>
      <w:bookmarkStart w:id="22" w:colFirst="0" w:name="h.cd1ymzn7qayl" w:colLast="0"/>
      <w:bookmarkEnd w:id="22"/>
      <w:r w:rsidRPr="00000000" w:rsidR="00000000" w:rsidDel="00000000">
        <w:rPr>
          <w:rtl w:val="0"/>
        </w:rPr>
        <w:t xml:space="preserve">Kontaktní formulář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$contactform-basic</w:t>
      </w:r>
      <w:r w:rsidRPr="00000000" w:rsidR="00000000" w:rsidDel="00000000">
        <w:rPr>
          <w:rtl w:val="0"/>
        </w:rPr>
      </w:r>
    </w:p>
    <w:sectPr>
      <w:pgSz w:w="12240" w:h="15840"/>
      <w:pgMar w:left="703" w:right="703" w:top="703" w:bottom="7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"/>
      <w:lvlJc w:val="left"/>
      <w:pPr>
        <w:ind w:left="720" w:firstLine="360"/>
      </w:pPr>
      <w:rPr>
        <w:rFonts w:cs="Arial" w:hAnsi="Arial" w:eastAsia="Arial" w:asci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firstLine="360"/>
      </w:pPr>
      <w:rPr>
        <w:rFonts w:cs="Arial" w:hAnsi="Arial" w:eastAsia="Arial" w:asci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firstLine="360"/>
      </w:pPr>
      <w:rPr>
        <w:rFonts w:cs="Arial" w:hAnsi="Arial" w:eastAsia="Arial" w:asci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firstLine="360"/>
      </w:pPr>
      <w:rPr>
        <w:rFonts w:cs="Arial" w:hAnsi="Arial" w:eastAsia="Arial" w:asci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firstLine="360"/>
      </w:pPr>
      <w:rPr>
        <w:rFonts w:cs="Arial" w:hAnsi="Arial" w:eastAsia="Arial" w:asci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firstLine="360"/>
      </w:pPr>
      <w:rPr>
        <w:rFonts w:cs="Arial" w:hAnsi="Arial" w:eastAsia="Arial" w:asci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sz w:val="2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firstLine="360"/>
      </w:pPr>
      <w:rPr>
        <w:rFonts w:cs="Arial" w:hAnsi="Arial" w:eastAsia="Arial" w:asci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firstLine="360"/>
      </w:pPr>
      <w:rPr>
        <w:rFonts w:cs="Arial" w:hAnsi="Arial" w:eastAsia="Arial" w:asci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firstLine="360"/>
      </w:pPr>
      <w:rPr>
        <w:rFonts w:cs="Arial" w:hAnsi="Arial" w:eastAsia="Arial" w:asci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firstLine="360"/>
      </w:pPr>
      <w:rPr>
        <w:rFonts w:cs="Arial" w:hAnsi="Arial" w:eastAsia="Arial" w:asci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firstLine="360"/>
      </w:pPr>
      <w:rPr>
        <w:rFonts w:cs="Arial" w:hAnsi="Arial" w:eastAsia="Arial" w:asci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firstLine="360"/>
      </w:pPr>
      <w:rPr>
        <w:rFonts w:cs="Arial" w:hAnsi="Arial" w:eastAsia="Arial" w:ascii="Arial"/>
        <w:sz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20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ak-beranek.cz/kontakt/" Type="http://schemas.openxmlformats.org/officeDocument/2006/relationships/hyperlink" TargetMode="External" Id="rId6"/><Relationship Target="http://www.akbbb.cz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temp 3.docx</dc:title>
</cp:coreProperties>
</file>