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rsh3ypkaybpx" w:id="0"/>
      <w:bookmarkEnd w:id="0"/>
      <w:r w:rsidDel="00000000" w:rsidR="00000000" w:rsidRPr="00000000">
        <w:rPr>
          <w:rtl w:val="0"/>
        </w:rPr>
        <w:t xml:space="preserve">Logomanuál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#desc: </w:t>
      </w:r>
      <w:hyperlink r:id="rId5">
        <w:r w:rsidDel="00000000" w:rsidR="00000000" w:rsidRPr="00000000">
          <w:rPr>
            <w:color w:val="1155cc"/>
            <w:u w:val="single"/>
            <w:rtl w:val="0"/>
          </w:rPr>
          <w:t xml:space="preserve">globální GD složka</w:t>
        </w:r>
      </w:hyperlink>
      <w:r w:rsidDel="00000000" w:rsidR="00000000" w:rsidRPr="00000000">
        <w:rPr>
          <w:rtl w:val="0"/>
        </w:rPr>
      </w:r>
    </w:p>
    <w:p w:rsidR="00000000" w:rsidDel="00000000" w:rsidP="00000000" w:rsidRDefault="00000000" w:rsidRPr="00000000">
      <w:pPr>
        <w:pStyle w:val="Heading1"/>
        <w:contextualSpacing w:val="0"/>
        <w:rPr/>
      </w:pPr>
      <w:bookmarkStart w:colFirst="0" w:colLast="0" w:name="_4pn0mnnmtq3w" w:id="1"/>
      <w:bookmarkEnd w:id="1"/>
      <w:r w:rsidDel="00000000" w:rsidR="00000000" w:rsidRPr="00000000">
        <w:rPr>
          <w:rtl w:val="0"/>
        </w:rPr>
        <w:t xml:space="preserve">Barvy</w:t>
      </w:r>
    </w:p>
    <w:p w:rsidR="00000000" w:rsidDel="00000000" w:rsidP="00000000" w:rsidRDefault="00000000" w:rsidRPr="00000000">
      <w:pPr>
        <w:contextualSpacing w:val="0"/>
        <w:rPr/>
      </w:pPr>
      <w:r w:rsidDel="00000000" w:rsidR="00000000" w:rsidRPr="00000000">
        <w:rPr>
          <w:rtl w:val="0"/>
        </w:rPr>
        <w:t xml:space="preserve">Základní barvy loga jsou rozšířené o doplňkové barvy pro piktogram a další. Mezi základní barvy patří také barva černá a bílá. Žádné další barvy není možné v souladu s logomanuálem používat.</w:t>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Název</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červená</w:t>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RGB</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191-0-0</w:t>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Pantone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7620 C</w:t>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CMYK</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25-100-100-0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Název</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žlutá</w:t>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RGB</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255-191-0</w:t>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Pantone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7408 C</w:t>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CMYK</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0-25-100-0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b w:val="1"/>
        </w:rPr>
      </w:pPr>
      <w:r w:rsidDel="00000000" w:rsidR="00000000" w:rsidRPr="00000000">
        <w:rPr>
          <w:b w:val="1"/>
          <w:rtl w:val="0"/>
        </w:rPr>
        <w:t xml:space="preserve">Název</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růžová</w:t>
      </w:r>
    </w:p>
    <w:p w:rsidR="00000000" w:rsidDel="00000000" w:rsidP="00000000" w:rsidRDefault="00000000" w:rsidRPr="00000000">
      <w:pPr>
        <w:numPr>
          <w:ilvl w:val="0"/>
          <w:numId w:val="6"/>
        </w:numPr>
        <w:ind w:left="720" w:hanging="360"/>
        <w:contextualSpacing w:val="1"/>
        <w:rPr>
          <w:b w:val="1"/>
        </w:rPr>
      </w:pPr>
      <w:r w:rsidDel="00000000" w:rsidR="00000000" w:rsidRPr="00000000">
        <w:rPr>
          <w:b w:val="1"/>
          <w:rtl w:val="0"/>
        </w:rPr>
        <w:t xml:space="preserve">RGB</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250-231-233</w:t>
      </w:r>
    </w:p>
    <w:p w:rsidR="00000000" w:rsidDel="00000000" w:rsidP="00000000" w:rsidRDefault="00000000" w:rsidRPr="00000000">
      <w:pPr>
        <w:numPr>
          <w:ilvl w:val="0"/>
          <w:numId w:val="6"/>
        </w:numPr>
        <w:ind w:left="720" w:hanging="360"/>
        <w:contextualSpacing w:val="1"/>
        <w:rPr>
          <w:b w:val="1"/>
        </w:rPr>
      </w:pPr>
      <w:r w:rsidDel="00000000" w:rsidR="00000000" w:rsidRPr="00000000">
        <w:rPr>
          <w:b w:val="1"/>
          <w:rtl w:val="0"/>
        </w:rPr>
        <w:t xml:space="preserve">Pantone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705 C</w:t>
      </w:r>
    </w:p>
    <w:p w:rsidR="00000000" w:rsidDel="00000000" w:rsidP="00000000" w:rsidRDefault="00000000" w:rsidRPr="00000000">
      <w:pPr>
        <w:numPr>
          <w:ilvl w:val="0"/>
          <w:numId w:val="6"/>
        </w:numPr>
        <w:ind w:left="720" w:hanging="360"/>
        <w:contextualSpacing w:val="1"/>
        <w:rPr>
          <w:b w:val="1"/>
        </w:rPr>
      </w:pPr>
      <w:r w:rsidDel="00000000" w:rsidR="00000000" w:rsidRPr="00000000">
        <w:rPr>
          <w:b w:val="1"/>
          <w:rtl w:val="0"/>
        </w:rPr>
        <w:t xml:space="preserve">CMYK</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1-10-3-0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b w:val="1"/>
        </w:rPr>
      </w:pPr>
      <w:r w:rsidDel="00000000" w:rsidR="00000000" w:rsidRPr="00000000">
        <w:rPr>
          <w:b w:val="1"/>
          <w:rtl w:val="0"/>
        </w:rPr>
        <w:t xml:space="preserve">Název</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tmavě růžová</w:t>
      </w:r>
    </w:p>
    <w:p w:rsidR="00000000" w:rsidDel="00000000" w:rsidP="00000000" w:rsidRDefault="00000000" w:rsidRPr="00000000">
      <w:pPr>
        <w:numPr>
          <w:ilvl w:val="0"/>
          <w:numId w:val="6"/>
        </w:numPr>
        <w:ind w:left="720" w:hanging="360"/>
        <w:contextualSpacing w:val="1"/>
        <w:rPr>
          <w:b w:val="1"/>
        </w:rPr>
      </w:pPr>
      <w:r w:rsidDel="00000000" w:rsidR="00000000" w:rsidRPr="00000000">
        <w:rPr>
          <w:b w:val="1"/>
          <w:rtl w:val="0"/>
        </w:rPr>
        <w:t xml:space="preserve">RGB</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195-94-103</w:t>
      </w:r>
    </w:p>
    <w:p w:rsidR="00000000" w:rsidDel="00000000" w:rsidP="00000000" w:rsidRDefault="00000000" w:rsidRPr="00000000">
      <w:pPr>
        <w:numPr>
          <w:ilvl w:val="0"/>
          <w:numId w:val="6"/>
        </w:numPr>
        <w:ind w:left="720" w:hanging="360"/>
        <w:contextualSpacing w:val="1"/>
        <w:rPr>
          <w:b w:val="1"/>
        </w:rPr>
      </w:pPr>
      <w:r w:rsidDel="00000000" w:rsidR="00000000" w:rsidRPr="00000000">
        <w:rPr>
          <w:b w:val="1"/>
          <w:rtl w:val="0"/>
        </w:rPr>
        <w:t xml:space="preserve">Pantone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7419 C</w:t>
      </w:r>
    </w:p>
    <w:p w:rsidR="00000000" w:rsidDel="00000000" w:rsidP="00000000" w:rsidRDefault="00000000" w:rsidRPr="00000000">
      <w:pPr>
        <w:numPr>
          <w:ilvl w:val="0"/>
          <w:numId w:val="6"/>
        </w:numPr>
        <w:ind w:left="720" w:hanging="360"/>
        <w:contextualSpacing w:val="1"/>
        <w:rPr>
          <w:b w:val="1"/>
        </w:rPr>
      </w:pPr>
      <w:r w:rsidDel="00000000" w:rsidR="00000000" w:rsidRPr="00000000">
        <w:rPr>
          <w:b w:val="1"/>
          <w:rtl w:val="0"/>
        </w:rPr>
        <w:t xml:space="preserve">CMYK</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20-75-50-3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Název</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okrová</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RGB</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204-154-50</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Pantone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7555 C</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CMYK</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21-39-97-2</w:t>
      </w:r>
    </w:p>
    <w:p w:rsidR="00000000" w:rsidDel="00000000" w:rsidP="00000000" w:rsidRDefault="00000000" w:rsidRPr="00000000">
      <w:pPr>
        <w:pStyle w:val="Heading1"/>
        <w:contextualSpacing w:val="0"/>
        <w:rPr/>
      </w:pPr>
      <w:bookmarkStart w:colFirst="0" w:colLast="0" w:name="_n5qjuf7rp33p" w:id="2"/>
      <w:bookmarkEnd w:id="2"/>
      <w:r w:rsidDel="00000000" w:rsidR="00000000" w:rsidRPr="00000000">
        <w:rPr>
          <w:rtl w:val="0"/>
        </w:rPr>
        <w:t xml:space="preserve">Druhy písma a f</w:t>
      </w:r>
      <w:r w:rsidDel="00000000" w:rsidR="00000000" w:rsidRPr="00000000">
        <w:rPr>
          <w:rtl w:val="0"/>
        </w:rPr>
        <w:t xml:space="preserve">ont</w:t>
      </w:r>
    </w:p>
    <w:p w:rsidR="00000000" w:rsidDel="00000000" w:rsidP="00000000" w:rsidRDefault="00000000" w:rsidRPr="00000000">
      <w:pPr>
        <w:contextualSpacing w:val="0"/>
        <w:rPr/>
      </w:pPr>
      <w:r w:rsidDel="00000000" w:rsidR="00000000" w:rsidRPr="00000000">
        <w:rPr>
          <w:rtl w:val="0"/>
        </w:rPr>
        <w:t xml:space="preserve">Výhradním fontem byl zvolen bezpatkový volně dostupný </w:t>
      </w:r>
      <w:hyperlink r:id="rId6">
        <w:r w:rsidDel="00000000" w:rsidR="00000000" w:rsidRPr="00000000">
          <w:rPr>
            <w:color w:val="1155cc"/>
            <w:u w:val="single"/>
            <w:rtl w:val="0"/>
          </w:rPr>
          <w:t xml:space="preserve">font Roboto</w:t>
        </w:r>
      </w:hyperlink>
      <w:r w:rsidDel="00000000" w:rsidR="00000000" w:rsidRPr="00000000">
        <w:rPr>
          <w:rtl w:val="0"/>
        </w:rPr>
        <w:t xml:space="preserve">. Základním druhem písma je prostý text odstavce. Od něho jsou odvozené veškeré další druhy písma. Žádné další úpravy pro uvedené druhy písma nejsou povoleny stejně jako žádný jiný font či jiný druh písma jako takový.</w:t>
      </w: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Druh písma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prostý text</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Velikost (font-size)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pro obrazovky výchozí (100 %)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pro tisk minimálně 8 pt</w:t>
      </w: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Řez (font-weight)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400 (normal)</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Řádkování (line-height)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140 %</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Proložení textu (letter-spacing)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0.01 %</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Barva na bílém pozadí</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černá</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Barva na červeném pozadí</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bílá</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Druh písma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nadpis nejvyšší úrovně</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Velikost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250 %</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Barva na bílém pozadí</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červená nebo černá</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b w:val="1"/>
        </w:rPr>
      </w:pPr>
      <w:r w:rsidDel="00000000" w:rsidR="00000000" w:rsidRPr="00000000">
        <w:rPr>
          <w:b w:val="1"/>
          <w:rtl w:val="0"/>
        </w:rPr>
        <w:t xml:space="preserve">Druh písma</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nadpis druhé úrovně</w:t>
      </w:r>
    </w:p>
    <w:p w:rsidR="00000000" w:rsidDel="00000000" w:rsidP="00000000" w:rsidRDefault="00000000" w:rsidRPr="00000000">
      <w:pPr>
        <w:numPr>
          <w:ilvl w:val="0"/>
          <w:numId w:val="7"/>
        </w:numPr>
        <w:ind w:left="720" w:hanging="360"/>
        <w:contextualSpacing w:val="1"/>
        <w:rPr>
          <w:b w:val="1"/>
        </w:rPr>
      </w:pPr>
      <w:r w:rsidDel="00000000" w:rsidR="00000000" w:rsidRPr="00000000">
        <w:rPr>
          <w:b w:val="1"/>
          <w:rtl w:val="0"/>
        </w:rPr>
        <w:t xml:space="preserve">Velikost</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200 %</w:t>
      </w:r>
    </w:p>
    <w:p w:rsidR="00000000" w:rsidDel="00000000" w:rsidP="00000000" w:rsidRDefault="00000000" w:rsidRPr="00000000">
      <w:pPr>
        <w:numPr>
          <w:ilvl w:val="0"/>
          <w:numId w:val="7"/>
        </w:numPr>
        <w:ind w:left="720" w:hanging="360"/>
        <w:contextualSpacing w:val="1"/>
        <w:rPr>
          <w:b w:val="1"/>
        </w:rPr>
      </w:pPr>
      <w:r w:rsidDel="00000000" w:rsidR="00000000" w:rsidRPr="00000000">
        <w:rPr>
          <w:b w:val="1"/>
          <w:rtl w:val="0"/>
        </w:rPr>
        <w:t xml:space="preserve">Barva na bílém pozadí</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červená nebo černá</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b w:val="1"/>
        </w:rPr>
      </w:pPr>
      <w:r w:rsidDel="00000000" w:rsidR="00000000" w:rsidRPr="00000000">
        <w:rPr>
          <w:b w:val="1"/>
          <w:rtl w:val="0"/>
        </w:rPr>
        <w:t xml:space="preserve">Druh písma</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nadpis třetí úrovně</w:t>
      </w:r>
    </w:p>
    <w:p w:rsidR="00000000" w:rsidDel="00000000" w:rsidP="00000000" w:rsidRDefault="00000000" w:rsidRPr="00000000">
      <w:pPr>
        <w:numPr>
          <w:ilvl w:val="0"/>
          <w:numId w:val="7"/>
        </w:numPr>
        <w:ind w:left="720" w:hanging="360"/>
        <w:contextualSpacing w:val="1"/>
        <w:rPr>
          <w:b w:val="1"/>
        </w:rPr>
      </w:pPr>
      <w:r w:rsidDel="00000000" w:rsidR="00000000" w:rsidRPr="00000000">
        <w:rPr>
          <w:b w:val="1"/>
          <w:rtl w:val="0"/>
        </w:rPr>
        <w:t xml:space="preserve">Velikost</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150 %</w:t>
      </w:r>
    </w:p>
    <w:p w:rsidR="00000000" w:rsidDel="00000000" w:rsidP="00000000" w:rsidRDefault="00000000" w:rsidRPr="00000000">
      <w:pPr>
        <w:numPr>
          <w:ilvl w:val="0"/>
          <w:numId w:val="7"/>
        </w:numPr>
        <w:ind w:left="720" w:hanging="360"/>
        <w:contextualSpacing w:val="1"/>
        <w:rPr>
          <w:b w:val="1"/>
        </w:rPr>
      </w:pPr>
      <w:r w:rsidDel="00000000" w:rsidR="00000000" w:rsidRPr="00000000">
        <w:rPr>
          <w:b w:val="1"/>
          <w:rtl w:val="0"/>
        </w:rPr>
        <w:t xml:space="preserve">Barva na bílém pozadí</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červená nebo černá</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Druh písma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shrnutí (odstavec za nadpisem)</w:t>
      </w: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Velikost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110 %</w:t>
      </w: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Řez</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italic</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Barva na bílém pozadí</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červená</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Druh písma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citace</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Velikost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120 %</w:t>
      </w: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Řez</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500 italic</w:t>
      </w: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Barva na bílém pozadí</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okrová</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Druh písma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definiční termín</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Velikost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120 %</w:t>
      </w: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Řez</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500</w:t>
      </w:r>
      <w:r w:rsidDel="00000000" w:rsidR="00000000" w:rsidRPr="00000000">
        <w:rPr>
          <w:rtl w:val="0"/>
        </w:rPr>
      </w:r>
    </w:p>
    <w:p w:rsidR="00000000" w:rsidDel="00000000" w:rsidP="00000000" w:rsidRDefault="00000000" w:rsidRPr="00000000">
      <w:pPr>
        <w:pStyle w:val="Heading1"/>
        <w:contextualSpacing w:val="0"/>
        <w:rPr/>
      </w:pPr>
      <w:bookmarkStart w:colFirst="0" w:colLast="0" w:name="_m7owqm73xfr" w:id="3"/>
      <w:bookmarkEnd w:id="3"/>
      <w:r w:rsidDel="00000000" w:rsidR="00000000" w:rsidRPr="00000000">
        <w:rPr>
          <w:rtl w:val="0"/>
        </w:rPr>
        <w:t xml:space="preserve">Logo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Logo je možné použít výhradně v uvedených barevných variantách včetně černé a bílé varianty. Při použití je nutné dbát na zachování kontrastu (světlost v závorkách) a tedy na celkovou čitelnost loga. Ochrannou zónu loga je nutné zachovat bez výjimky.</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[img]</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Plná barva na bílém či velmi světlém pozadí (min. 95 %)</w:t>
      </w:r>
    </w:p>
    <w:p w:rsidR="00000000" w:rsidDel="00000000" w:rsidP="00000000" w:rsidRDefault="00000000" w:rsidRPr="00000000">
      <w:pPr>
        <w:numPr>
          <w:ilvl w:val="0"/>
          <w:numId w:val="4"/>
        </w:numPr>
        <w:ind w:left="720" w:hanging="360"/>
        <w:contextualSpacing w:val="1"/>
        <w:rPr>
          <w:u w:val="none"/>
        </w:rPr>
      </w:pPr>
      <w:hyperlink r:id="rId7">
        <w:r w:rsidDel="00000000" w:rsidR="00000000" w:rsidRPr="00000000">
          <w:rPr>
            <w:color w:val="1155cc"/>
            <w:u w:val="single"/>
            <w:rtl w:val="0"/>
          </w:rPr>
          <w:t xml:space="preserve">Vektorová varianta v PDF</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[img]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Plná barva na červeném pozadí</w:t>
      </w:r>
    </w:p>
    <w:p w:rsidR="00000000" w:rsidDel="00000000" w:rsidP="00000000" w:rsidRDefault="00000000" w:rsidRPr="00000000">
      <w:pPr>
        <w:numPr>
          <w:ilvl w:val="0"/>
          <w:numId w:val="4"/>
        </w:numPr>
        <w:ind w:left="720" w:hanging="360"/>
        <w:contextualSpacing w:val="1"/>
        <w:rPr/>
      </w:pPr>
      <w:hyperlink r:id="rId8">
        <w:r w:rsidDel="00000000" w:rsidR="00000000" w:rsidRPr="00000000">
          <w:rPr>
            <w:color w:val="1155cc"/>
            <w:u w:val="single"/>
            <w:rtl w:val="0"/>
          </w:rPr>
          <w:t xml:space="preserve">Vektorová varianta v PDF</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[img]</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Černě na světlém pozadí (min. 80 %)</w:t>
      </w:r>
    </w:p>
    <w:p w:rsidR="00000000" w:rsidDel="00000000" w:rsidP="00000000" w:rsidRDefault="00000000" w:rsidRPr="00000000">
      <w:pPr>
        <w:numPr>
          <w:ilvl w:val="0"/>
          <w:numId w:val="4"/>
        </w:numPr>
        <w:ind w:left="720" w:hanging="360"/>
        <w:contextualSpacing w:val="1"/>
        <w:rPr/>
      </w:pPr>
      <w:hyperlink r:id="rId9">
        <w:r w:rsidDel="00000000" w:rsidR="00000000" w:rsidRPr="00000000">
          <w:rPr>
            <w:color w:val="1155cc"/>
            <w:u w:val="single"/>
            <w:rtl w:val="0"/>
          </w:rPr>
          <w:t xml:space="preserve">Vektorová varianta v PDF</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[img]</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Ochranná zóna loga</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Výška písmene K do všech stran.</w:t>
      </w:r>
    </w:p>
    <w:p w:rsidR="00000000" w:rsidDel="00000000" w:rsidP="00000000" w:rsidRDefault="00000000" w:rsidRPr="00000000">
      <w:pPr>
        <w:pStyle w:val="Heading1"/>
        <w:contextualSpacing w:val="0"/>
        <w:rPr/>
      </w:pPr>
      <w:bookmarkStart w:colFirst="0" w:colLast="0" w:name="_broy1rz94wi4" w:id="4"/>
      <w:bookmarkEnd w:id="4"/>
      <w:r w:rsidDel="00000000" w:rsidR="00000000" w:rsidRPr="00000000">
        <w:rPr>
          <w:rtl w:val="0"/>
        </w:rPr>
        <w:t xml:space="preserve">Piktogram</w:t>
      </w:r>
    </w:p>
    <w:p w:rsidR="00000000" w:rsidDel="00000000" w:rsidP="00000000" w:rsidRDefault="00000000" w:rsidRPr="00000000">
      <w:pPr>
        <w:contextualSpacing w:val="0"/>
        <w:rPr/>
      </w:pPr>
      <w:r w:rsidDel="00000000" w:rsidR="00000000" w:rsidRPr="00000000">
        <w:rPr>
          <w:rtl w:val="0"/>
        </w:rPr>
        <w:t xml:space="preserve">Piktogram je definovaný jako horní část loga zasazená do pravého dolního rohu aplikace tak, aby pravá dolní část kružnice nebyla patrná. Na rozdíl od loga je u piktogramu třeba dbát naopak na to, aby opticky nerušilo text na popředí.</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[img]</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Piktogram na bílém pozadí</w:t>
      </w:r>
    </w:p>
    <w:p w:rsidR="00000000" w:rsidDel="00000000" w:rsidP="00000000" w:rsidRDefault="00000000" w:rsidRPr="00000000">
      <w:pPr>
        <w:numPr>
          <w:ilvl w:val="0"/>
          <w:numId w:val="4"/>
        </w:numPr>
        <w:ind w:left="720" w:hanging="360"/>
        <w:contextualSpacing w:val="1"/>
        <w:rPr/>
      </w:pPr>
      <w:hyperlink r:id="rId10">
        <w:r w:rsidDel="00000000" w:rsidR="00000000" w:rsidRPr="00000000">
          <w:rPr>
            <w:color w:val="1155cc"/>
            <w:u w:val="single"/>
            <w:rtl w:val="0"/>
          </w:rPr>
          <w:t xml:space="preserve">Vektorová varianta v PDF</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[img]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Piktogram na žlutém pozadí</w:t>
      </w:r>
    </w:p>
    <w:p w:rsidR="00000000" w:rsidDel="00000000" w:rsidP="00000000" w:rsidRDefault="00000000" w:rsidRPr="00000000">
      <w:pPr>
        <w:numPr>
          <w:ilvl w:val="0"/>
          <w:numId w:val="4"/>
        </w:numPr>
        <w:ind w:left="720" w:hanging="360"/>
        <w:contextualSpacing w:val="1"/>
        <w:rPr/>
      </w:pPr>
      <w:hyperlink r:id="rId11">
        <w:r w:rsidDel="00000000" w:rsidR="00000000" w:rsidRPr="00000000">
          <w:rPr>
            <w:color w:val="1155cc"/>
            <w:u w:val="single"/>
            <w:rtl w:val="0"/>
          </w:rPr>
          <w:t xml:space="preserve">Vektorová varianta v PDF</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[img]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Piktogram na červeném pozadí</w:t>
      </w:r>
    </w:p>
    <w:p w:rsidR="00000000" w:rsidDel="00000000" w:rsidP="00000000" w:rsidRDefault="00000000" w:rsidRPr="00000000">
      <w:pPr>
        <w:numPr>
          <w:ilvl w:val="0"/>
          <w:numId w:val="4"/>
        </w:numPr>
        <w:ind w:left="720" w:hanging="360"/>
        <w:contextualSpacing w:val="1"/>
        <w:rPr/>
      </w:pPr>
      <w:hyperlink r:id="rId12">
        <w:r w:rsidDel="00000000" w:rsidR="00000000" w:rsidRPr="00000000">
          <w:rPr>
            <w:color w:val="1155cc"/>
            <w:u w:val="single"/>
            <w:rtl w:val="0"/>
          </w:rPr>
          <w:t xml:space="preserve">Vektorová varianta v PDF</w:t>
        </w:r>
      </w:hyperlink>
      <w:r w:rsidDel="00000000" w:rsidR="00000000" w:rsidRPr="00000000">
        <w:rPr>
          <w:rtl w:val="0"/>
        </w:rPr>
      </w:r>
    </w:p>
    <w:p w:rsidR="00000000" w:rsidDel="00000000" w:rsidP="00000000" w:rsidRDefault="00000000" w:rsidRPr="00000000">
      <w:pPr>
        <w:pStyle w:val="Heading1"/>
        <w:contextualSpacing w:val="0"/>
        <w:rPr/>
      </w:pPr>
      <w:bookmarkStart w:colFirst="0" w:colLast="0" w:name="_hhcdfegd9l7o" w:id="5"/>
      <w:bookmarkEnd w:id="5"/>
      <w:r w:rsidDel="00000000" w:rsidR="00000000" w:rsidRPr="00000000">
        <w:rPr>
          <w:rtl w:val="0"/>
        </w:rPr>
        <w:t xml:space="preserve">Aplikace loga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 aplikací jsou možné mírné úpravy rozměrů včetně poměrů stran (vizitky, desky). Je však nutné dbát na výše uvedená pravidla. Zejména nesmí dojít k porušení požadavku na minimální velikost písma (výše). Zaoblení rohů tiskovin je volitelné a z praktických důvodů je aspoň mírné zaoblení doporučené.</w:t>
      </w:r>
    </w:p>
    <w:p w:rsidR="00000000" w:rsidDel="00000000" w:rsidP="00000000" w:rsidRDefault="00000000" w:rsidRPr="00000000">
      <w:pPr>
        <w:numPr>
          <w:ilvl w:val="0"/>
          <w:numId w:val="8"/>
        </w:numPr>
        <w:ind w:left="720" w:hanging="360"/>
        <w:contextualSpacing w:val="1"/>
        <w:rPr>
          <w:b w:val="1"/>
        </w:rPr>
      </w:pPr>
      <w:r w:rsidDel="00000000" w:rsidR="00000000" w:rsidRPr="00000000">
        <w:rPr>
          <w:b w:val="1"/>
          <w:rtl w:val="0"/>
        </w:rPr>
        <w:t xml:space="preserve">[img]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Jednostranná vizitka</w:t>
      </w:r>
      <w:r w:rsidDel="00000000" w:rsidR="00000000" w:rsidRPr="00000000">
        <w:rPr>
          <w:rtl w:val="0"/>
        </w:rPr>
      </w:r>
    </w:p>
    <w:p w:rsidR="00000000" w:rsidDel="00000000" w:rsidP="00000000" w:rsidRDefault="00000000" w:rsidRPr="00000000">
      <w:pPr>
        <w:numPr>
          <w:ilvl w:val="0"/>
          <w:numId w:val="8"/>
        </w:numPr>
        <w:ind w:left="720" w:hanging="360"/>
        <w:contextualSpacing w:val="1"/>
        <w:rPr/>
      </w:pPr>
      <w:hyperlink r:id="rId13">
        <w:r w:rsidDel="00000000" w:rsidR="00000000" w:rsidRPr="00000000">
          <w:rPr>
            <w:color w:val="1155cc"/>
            <w:u w:val="single"/>
            <w:rtl w:val="0"/>
          </w:rPr>
          <w:t xml:space="preserve">Tisková varianta v PDF</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b w:val="1"/>
        </w:rPr>
      </w:pPr>
      <w:r w:rsidDel="00000000" w:rsidR="00000000" w:rsidRPr="00000000">
        <w:rPr>
          <w:b w:val="1"/>
          <w:rtl w:val="0"/>
        </w:rPr>
        <w:t xml:space="preserve">[img]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Oboustranná vizitka</w:t>
      </w:r>
    </w:p>
    <w:p w:rsidR="00000000" w:rsidDel="00000000" w:rsidP="00000000" w:rsidRDefault="00000000" w:rsidRPr="00000000">
      <w:pPr>
        <w:numPr>
          <w:ilvl w:val="0"/>
          <w:numId w:val="8"/>
        </w:numPr>
        <w:ind w:left="720" w:hanging="360"/>
        <w:contextualSpacing w:val="1"/>
        <w:rPr/>
      </w:pPr>
      <w:hyperlink r:id="rId14">
        <w:r w:rsidDel="00000000" w:rsidR="00000000" w:rsidRPr="00000000">
          <w:rPr>
            <w:color w:val="1155cc"/>
            <w:u w:val="single"/>
            <w:rtl w:val="0"/>
          </w:rPr>
          <w:t xml:space="preserve">Tisková varianta v PDF</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b w:val="1"/>
        </w:rPr>
      </w:pPr>
      <w:r w:rsidDel="00000000" w:rsidR="00000000" w:rsidRPr="00000000">
        <w:rPr>
          <w:b w:val="1"/>
          <w:rtl w:val="0"/>
        </w:rPr>
        <w:t xml:space="preserve">[img]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Desky k jídelnímu lístku</w:t>
      </w:r>
    </w:p>
    <w:p w:rsidR="00000000" w:rsidDel="00000000" w:rsidP="00000000" w:rsidRDefault="00000000" w:rsidRPr="00000000">
      <w:pPr>
        <w:numPr>
          <w:ilvl w:val="0"/>
          <w:numId w:val="8"/>
        </w:numPr>
        <w:ind w:left="720" w:hanging="360"/>
        <w:contextualSpacing w:val="1"/>
        <w:rPr/>
      </w:pPr>
      <w:hyperlink r:id="rId15">
        <w:r w:rsidDel="00000000" w:rsidR="00000000" w:rsidRPr="00000000">
          <w:rPr>
            <w:color w:val="1155cc"/>
            <w:u w:val="single"/>
            <w:rtl w:val="0"/>
          </w:rPr>
          <w:t xml:space="preserve">Tisková varianta v PDF</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b w:val="1"/>
        </w:rPr>
      </w:pPr>
      <w:r w:rsidDel="00000000" w:rsidR="00000000" w:rsidRPr="00000000">
        <w:rPr>
          <w:b w:val="1"/>
          <w:rtl w:val="0"/>
        </w:rPr>
        <w:t xml:space="preserve">[img]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Denní nabídka</w:t>
      </w:r>
    </w:p>
    <w:p w:rsidR="00000000" w:rsidDel="00000000" w:rsidP="00000000" w:rsidRDefault="00000000" w:rsidRPr="00000000">
      <w:pPr>
        <w:numPr>
          <w:ilvl w:val="0"/>
          <w:numId w:val="8"/>
        </w:numPr>
        <w:ind w:left="720" w:hanging="360"/>
        <w:contextualSpacing w:val="1"/>
        <w:rPr/>
      </w:pPr>
      <w:hyperlink r:id="rId16">
        <w:r w:rsidDel="00000000" w:rsidR="00000000" w:rsidRPr="00000000">
          <w:rPr>
            <w:color w:val="1155cc"/>
            <w:u w:val="single"/>
            <w:rtl w:val="0"/>
          </w:rPr>
          <w:t xml:space="preserve">Tisková varianta v PDF</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b w:val="1"/>
        </w:rPr>
      </w:pPr>
      <w:r w:rsidDel="00000000" w:rsidR="00000000" w:rsidRPr="00000000">
        <w:rPr>
          <w:b w:val="1"/>
          <w:rtl w:val="0"/>
        </w:rPr>
        <w:t xml:space="preserve">[img]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Voucher</w:t>
      </w:r>
    </w:p>
    <w:p w:rsidR="00000000" w:rsidDel="00000000" w:rsidP="00000000" w:rsidRDefault="00000000" w:rsidRPr="00000000">
      <w:pPr>
        <w:numPr>
          <w:ilvl w:val="0"/>
          <w:numId w:val="8"/>
        </w:numPr>
        <w:ind w:left="720" w:hanging="360"/>
        <w:contextualSpacing w:val="1"/>
        <w:rPr/>
      </w:pPr>
      <w:hyperlink r:id="rId17">
        <w:r w:rsidDel="00000000" w:rsidR="00000000" w:rsidRPr="00000000">
          <w:rPr>
            <w:color w:val="1155cc"/>
            <w:u w:val="single"/>
            <w:rtl w:val="0"/>
          </w:rPr>
          <w:t xml:space="preserve">Tisková varianta v PDF</w:t>
        </w:r>
      </w:hyperlink>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c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link" TargetMode="External"/><Relationship Id="rId10" Type="http://schemas.openxmlformats.org/officeDocument/2006/relationships/hyperlink" Target="http://link" TargetMode="External"/><Relationship Id="rId13" Type="http://schemas.openxmlformats.org/officeDocument/2006/relationships/hyperlink" Target="http://link" TargetMode="External"/><Relationship Id="rId12" Type="http://schemas.openxmlformats.org/officeDocument/2006/relationships/hyperlink" Target="http://link"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link" TargetMode="External"/><Relationship Id="rId15" Type="http://schemas.openxmlformats.org/officeDocument/2006/relationships/hyperlink" Target="http://link" TargetMode="External"/><Relationship Id="rId14" Type="http://schemas.openxmlformats.org/officeDocument/2006/relationships/hyperlink" Target="http://link" TargetMode="External"/><Relationship Id="rId17" Type="http://schemas.openxmlformats.org/officeDocument/2006/relationships/hyperlink" Target="http://link" TargetMode="External"/><Relationship Id="rId16" Type="http://schemas.openxmlformats.org/officeDocument/2006/relationships/hyperlink" Target="http://link" TargetMode="External"/><Relationship Id="rId5" Type="http://schemas.openxmlformats.org/officeDocument/2006/relationships/hyperlink" Target="https://drive.google.com/drive/folders/0B0bWaAtkIZONOXk2SmdXeWltTUE?usp=sharing" TargetMode="External"/><Relationship Id="rId6" Type="http://schemas.openxmlformats.org/officeDocument/2006/relationships/hyperlink" Target="https://fonts.google.com/specimen/Roboto" TargetMode="External"/><Relationship Id="rId7" Type="http://schemas.openxmlformats.org/officeDocument/2006/relationships/hyperlink" Target="http://link" TargetMode="External"/><Relationship Id="rId8" Type="http://schemas.openxmlformats.org/officeDocument/2006/relationships/hyperlink" Target="http://link" TargetMode="External"/></Relationships>
</file>