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t16nl5js4max" w:id="0"/>
      <w:bookmarkEnd w:id="0"/>
      <w:r w:rsidDel="00000000" w:rsidR="00000000" w:rsidRPr="00000000">
        <w:rPr>
          <w:rtl w:val="0"/>
        </w:rPr>
        <w:t xml:space="preserve">Session Plan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1"/>
        <w:bidi w:val="0"/>
        <w:tblW w:w="14385.0" w:type="dxa"/>
        <w:jc w:val="left"/>
        <w:tblInd w:w="-2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55"/>
        <w:gridCol w:w="12630"/>
        <w:tblGridChange w:id="0">
          <w:tblGrid>
            <w:gridCol w:w="1755"/>
            <w:gridCol w:w="126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60" w:firstLine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Venue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6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Training room, meeting room, seminar room, etc.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60" w:firstLine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Duration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6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2.0 – 3.0 hour course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60" w:firstLine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Resources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Projector, screen and trainer PC/laptop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Slide deck presentation (available from http://www.intersect.org.au/course-resources)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Sticky notes and pens (set for each participant)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 of registered participants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details for trainers PC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Second trainer to assist if required (trainer to organise). Recommended for larger groups.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60" w:firstLine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Structure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Face to Face (and/remote delivery).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Trainer provides information to identify the range of dimensions of research data management and provides context and examples of good practice of exercise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 can be easily customised to meet local requirements by updating the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Slide Presentation Template.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Note: Attendees do not require computer access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60" w:firstLine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Prerequisites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prerequisites for attendees.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Trainers are required to be knowledgeable in the area of RDM to lead discussion, provide context, examples, and suggest solutions. </w:t>
            </w:r>
          </w:p>
        </w:tc>
      </w:tr>
      <w:tr>
        <w:trPr>
          <w:trHeight w:val="13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60" w:firstLine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Learning Objectives</w:t>
            </w:r>
          </w:p>
          <w:p w:rsidR="00000000" w:rsidDel="00000000" w:rsidP="00000000" w:rsidRDefault="00000000" w:rsidRPr="00000000">
            <w:pPr>
              <w:ind w:left="260" w:firstLine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understanding of research data management requirements in context to Australian research funding bodies, i.e. ARC, NHMRC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overview of the range of activities and responsibilities that constitute research data management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understanding of good practice in research data management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396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230"/>
        <w:gridCol w:w="5025"/>
        <w:gridCol w:w="1710"/>
        <w:gridCol w:w="6000"/>
        <w:tblGridChange w:id="0">
          <w:tblGrid>
            <w:gridCol w:w="1230"/>
            <w:gridCol w:w="5025"/>
            <w:gridCol w:w="1710"/>
            <w:gridCol w:w="6000"/>
          </w:tblGrid>
        </w:tblGridChange>
      </w:tblGrid>
      <w:t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f81b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60" w:firstLine="0"/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f81bd" w:val="clear"/>
                <w:rtl w:val="0"/>
              </w:rPr>
              <w:t xml:space="preserve">RESEARCH DATA MANAGEMENT TECHNIQUES                                                           TRAINING MODULE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60" w:firstLine="0"/>
              <w:contextualSpacing w:val="0"/>
            </w:pPr>
            <w:r w:rsidDel="00000000" w:rsidR="00000000" w:rsidRPr="00000000">
              <w:rPr>
                <w:b w:val="1"/>
                <w:color w:val="4f81bd"/>
                <w:sz w:val="20"/>
                <w:szCs w:val="20"/>
                <w:shd w:fill="dbe5f1" w:val="clear"/>
                <w:rtl w:val="0"/>
              </w:rPr>
              <w:t xml:space="preserve">Time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60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4f81bd"/>
                <w:sz w:val="20"/>
                <w:szCs w:val="20"/>
                <w:shd w:fill="dbe5f1" w:val="clear"/>
                <w:rtl w:val="0"/>
              </w:rPr>
              <w:t xml:space="preserve">Content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60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4f81bd"/>
                <w:sz w:val="20"/>
                <w:szCs w:val="20"/>
                <w:shd w:fill="dbe5f1" w:val="clear"/>
                <w:rtl w:val="0"/>
              </w:rPr>
              <w:t xml:space="preserve">Activity/</w:t>
            </w:r>
          </w:p>
          <w:p w:rsidR="00000000" w:rsidDel="00000000" w:rsidP="00000000" w:rsidRDefault="00000000" w:rsidRPr="00000000">
            <w:pPr>
              <w:ind w:left="260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4f81bd"/>
                <w:sz w:val="20"/>
                <w:szCs w:val="20"/>
                <w:shd w:fill="dbe5f1" w:val="clear"/>
                <w:rtl w:val="0"/>
              </w:rPr>
              <w:t xml:space="preserve">Resources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60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4f81bd"/>
                <w:sz w:val="20"/>
                <w:szCs w:val="20"/>
                <w:shd w:fill="dbe5f1" w:val="clear"/>
                <w:rtl w:val="0"/>
              </w:rPr>
              <w:t xml:space="preserve">Comments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6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5 mins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Introduction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Introduction (trainer) and welcome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Housekeeping (amenities, breaks, etc)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Distribute sticky notes and pens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Learning Outcomes for the entire course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6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Oral</w:t>
            </w:r>
          </w:p>
          <w:p w:rsidR="00000000" w:rsidDel="00000000" w:rsidP="00000000" w:rsidRDefault="00000000" w:rsidRPr="00000000">
            <w:pPr>
              <w:ind w:left="26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6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the scene and trainee expectations for the session</w:t>
            </w:r>
          </w:p>
          <w:p w:rsidR="00000000" w:rsidDel="00000000" w:rsidP="00000000" w:rsidRDefault="00000000" w:rsidRPr="00000000">
            <w:pPr>
              <w:ind w:left="26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6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shd w:fill="dbe5f1" w:val="clear"/>
                <w:rtl w:val="0"/>
              </w:rPr>
              <w:t xml:space="preserve">1.75 – 2.75 hours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before="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Body</w:t>
            </w:r>
            <w:r w:rsidDel="00000000" w:rsidR="00000000" w:rsidRPr="00000000">
              <w:rPr>
                <w:b w:val="1"/>
                <w:sz w:val="20"/>
                <w:szCs w:val="20"/>
                <w:shd w:fill="dbe5f1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60" w:firstLine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dbe5f1" w:val="clear"/>
                <w:rtl w:val="0"/>
              </w:rPr>
              <w:t xml:space="preserve">Research Data Management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shd w:fill="dbe5f1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sz w:val="20"/>
                <w:szCs w:val="20"/>
                <w:u w:val="none"/>
                <w:shd w:fill="dbe5f1" w:val="clear"/>
              </w:rPr>
            </w:pPr>
            <w:r w:rsidDel="00000000" w:rsidR="00000000" w:rsidRPr="00000000">
              <w:rPr>
                <w:sz w:val="20"/>
                <w:szCs w:val="20"/>
                <w:shd w:fill="dbe5f1" w:val="clear"/>
                <w:rtl w:val="0"/>
              </w:rPr>
              <w:t xml:space="preserve">Provide overview and context to activities and responsibilities related to RDM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sz w:val="20"/>
                <w:szCs w:val="20"/>
                <w:u w:val="none"/>
                <w:shd w:fill="dbe5f1" w:val="clear"/>
              </w:rPr>
            </w:pPr>
            <w:r w:rsidDel="00000000" w:rsidR="00000000" w:rsidRPr="00000000">
              <w:rPr>
                <w:sz w:val="20"/>
                <w:szCs w:val="20"/>
                <w:shd w:fill="dbe5f1" w:val="clear"/>
                <w:rtl w:val="0"/>
              </w:rPr>
              <w:t xml:space="preserve">Identify good practice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dbe5f1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62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shd w:fill="dbe5f1" w:val="clear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6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shd w:fill="dbe5f1" w:val="clear"/>
                <w:rtl w:val="0"/>
              </w:rPr>
              <w:t xml:space="preserve">1.Slide Deck Presentation</w:t>
            </w:r>
          </w:p>
          <w:p w:rsidR="00000000" w:rsidDel="00000000" w:rsidP="00000000" w:rsidRDefault="00000000" w:rsidRPr="00000000">
            <w:pPr>
              <w:ind w:left="26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6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shd w:fill="dbe5f1" w:val="clear"/>
                <w:rtl w:val="0"/>
              </w:rPr>
              <w:t xml:space="preserve">2. Sticky notes and pens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dbe5f1" w:val="clear"/>
                <w:rtl w:val="0"/>
              </w:rPr>
              <w:t xml:space="preserve">Present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sz w:val="20"/>
                <w:szCs w:val="20"/>
                <w:u w:val="none"/>
                <w:shd w:fill="dbe5f1" w:val="clear"/>
              </w:rPr>
            </w:pPr>
            <w:r w:rsidDel="00000000" w:rsidR="00000000" w:rsidRPr="00000000">
              <w:rPr>
                <w:sz w:val="20"/>
                <w:szCs w:val="20"/>
                <w:shd w:fill="dbe5f1" w:val="clear"/>
                <w:rtl w:val="0"/>
              </w:rPr>
              <w:t xml:space="preserve">Present content, break at activity points</w:t>
            </w:r>
          </w:p>
          <w:p w:rsidR="00000000" w:rsidDel="00000000" w:rsidP="00000000" w:rsidRDefault="00000000" w:rsidRPr="00000000">
            <w:pPr>
              <w:ind w:left="26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shd w:fill="dbe5f1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dbe5f1" w:val="clear"/>
                <w:rtl w:val="0"/>
              </w:rPr>
              <w:t xml:space="preserve">Activity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sz w:val="20"/>
                <w:szCs w:val="20"/>
                <w:u w:val="none"/>
                <w:shd w:fill="dbe5f1" w:val="clear"/>
              </w:rPr>
            </w:pPr>
            <w:r w:rsidDel="00000000" w:rsidR="00000000" w:rsidRPr="00000000">
              <w:rPr>
                <w:sz w:val="20"/>
                <w:szCs w:val="20"/>
                <w:shd w:fill="dbe5f1" w:val="clear"/>
                <w:rtl w:val="0"/>
              </w:rPr>
              <w:t xml:space="preserve">At Activity points, instruct participants to complete activity.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sz w:val="20"/>
                <w:szCs w:val="20"/>
                <w:u w:val="none"/>
                <w:shd w:fill="dbe5f1" w:val="clear"/>
              </w:rPr>
            </w:pPr>
            <w:r w:rsidDel="00000000" w:rsidR="00000000" w:rsidRPr="00000000">
              <w:rPr>
                <w:sz w:val="20"/>
                <w:szCs w:val="20"/>
                <w:shd w:fill="dbe5f1" w:val="clear"/>
                <w:rtl w:val="0"/>
              </w:rPr>
              <w:t xml:space="preserve">Facilitate discussion around responses to activity.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6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10 mins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before="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Conclusion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Revisit the Learning Objectives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Summarise what the session has covered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Point to where to get training resources for future reference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Where to get help/who can help with RDM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Obtain course feedback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6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Oral</w:t>
            </w:r>
          </w:p>
          <w:p w:rsidR="00000000" w:rsidDel="00000000" w:rsidP="00000000" w:rsidRDefault="00000000" w:rsidRPr="00000000">
            <w:pPr>
              <w:ind w:left="26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6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6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6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Any Questions?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1906" w:w="16838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