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- 2025 Input Output Engineering Core Development Proposal </w:t>
      </w:r>
    </w:p>
    <w:p w:rsidR="00000000" w:rsidDel="00000000" w:rsidP="00000000" w:rsidRDefault="00000000" w:rsidRPr="00000000" w14:paraId="00000002">
      <w:pPr>
        <w:spacing w:after="60" w:lineRule="auto"/>
        <w:ind w:left="0" w:firstLine="0"/>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i w:val="1"/>
        </w:rPr>
      </w:pPr>
      <w:r w:rsidDel="00000000" w:rsidR="00000000" w:rsidRPr="00000000">
        <w:rPr>
          <w:highlight w:val="white"/>
          <w:rtl w:val="0"/>
        </w:rPr>
        <w:t xml:space="preserve">Withdraw </w:t>
      </w:r>
      <w:r w:rsidDel="00000000" w:rsidR="00000000" w:rsidRPr="00000000">
        <w:rPr>
          <w:highlight w:val="white"/>
          <w:rtl w:val="0"/>
        </w:rPr>
        <w:t xml:space="preserve">₳</w:t>
      </w:r>
      <w:r w:rsidDel="00000000" w:rsidR="00000000" w:rsidRPr="00000000">
        <w:rPr>
          <w:rtl w:val="0"/>
        </w:rPr>
        <w:t xml:space="preserve">96,817,080 </w:t>
      </w:r>
      <w:r w:rsidDel="00000000" w:rsidR="00000000" w:rsidRPr="00000000">
        <w:rPr>
          <w:rtl w:val="0"/>
        </w:rPr>
        <w:t xml:space="preserve">for </w:t>
      </w:r>
      <w:r w:rsidDel="00000000" w:rsidR="00000000" w:rsidRPr="00000000">
        <w:rPr>
          <w:rtl w:val="0"/>
        </w:rPr>
        <w:t xml:space="preserve">2025 Input Output Engineering Core Development Proposal</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2025 Input Output Engineering Core Development Proposal </w:t>
      </w:r>
      <w:r w:rsidDel="00000000" w:rsidR="00000000" w:rsidRPr="00000000">
        <w:rPr>
          <w:rtl w:val="0"/>
        </w:rPr>
        <w:t xml:space="preserve">which will provide the following services: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8"/>
        </w:numPr>
        <w:ind w:left="720" w:hanging="360"/>
        <w:rPr>
          <w:color w:val="020817"/>
          <w:highlight w:val="white"/>
          <w:u w:val="none"/>
        </w:rPr>
      </w:pPr>
      <w:r w:rsidDel="00000000" w:rsidR="00000000" w:rsidRPr="00000000">
        <w:rPr>
          <w:color w:val="020817"/>
          <w:highlight w:val="white"/>
          <w:rtl w:val="0"/>
        </w:rPr>
        <w:t xml:space="preserve">Automatic Formal Verification (Plutus High Assurance)</w:t>
      </w:r>
    </w:p>
    <w:p w:rsidR="00000000" w:rsidDel="00000000" w:rsidP="00000000" w:rsidRDefault="00000000" w:rsidRPr="00000000" w14:paraId="00000009">
      <w:pPr>
        <w:numPr>
          <w:ilvl w:val="0"/>
          <w:numId w:val="4"/>
        </w:numPr>
        <w:ind w:left="720" w:hanging="360"/>
        <w:rPr>
          <w:color w:val="020817"/>
          <w:highlight w:val="white"/>
          <w:u w:val="none"/>
        </w:rPr>
      </w:pPr>
      <w:r w:rsidDel="00000000" w:rsidR="00000000" w:rsidRPr="00000000">
        <w:rPr>
          <w:color w:val="020817"/>
          <w:highlight w:val="white"/>
          <w:rtl w:val="0"/>
        </w:rPr>
        <w:t xml:space="preserve">Property Based Testing Tool (Plutus High Assurance)</w:t>
      </w:r>
    </w:p>
    <w:p w:rsidR="00000000" w:rsidDel="00000000" w:rsidP="00000000" w:rsidRDefault="00000000" w:rsidRPr="00000000" w14:paraId="0000000A">
      <w:pPr>
        <w:numPr>
          <w:ilvl w:val="0"/>
          <w:numId w:val="18"/>
        </w:numPr>
        <w:ind w:left="720" w:hanging="360"/>
        <w:rPr>
          <w:color w:val="020817"/>
          <w:highlight w:val="white"/>
          <w:u w:val="none"/>
        </w:rPr>
      </w:pPr>
      <w:r w:rsidDel="00000000" w:rsidR="00000000" w:rsidRPr="00000000">
        <w:rPr>
          <w:color w:val="020817"/>
          <w:highlight w:val="white"/>
          <w:rtl w:val="0"/>
        </w:rPr>
        <w:t xml:space="preserve">Static Analyzer (Plutus High Assurance)</w:t>
      </w:r>
    </w:p>
    <w:p w:rsidR="00000000" w:rsidDel="00000000" w:rsidP="00000000" w:rsidRDefault="00000000" w:rsidRPr="00000000" w14:paraId="0000000B">
      <w:pPr>
        <w:numPr>
          <w:ilvl w:val="0"/>
          <w:numId w:val="18"/>
        </w:numPr>
        <w:ind w:left="720" w:hanging="360"/>
        <w:rPr>
          <w:color w:val="020817"/>
          <w:highlight w:val="white"/>
          <w:u w:val="none"/>
        </w:rPr>
      </w:pPr>
      <w:r w:rsidDel="00000000" w:rsidR="00000000" w:rsidRPr="00000000">
        <w:rPr>
          <w:color w:val="020817"/>
          <w:highlight w:val="white"/>
          <w:rtl w:val="0"/>
        </w:rPr>
        <w:t xml:space="preserve">Ouroboros Leios Implementation</w:t>
      </w:r>
    </w:p>
    <w:p w:rsidR="00000000" w:rsidDel="00000000" w:rsidP="00000000" w:rsidRDefault="00000000" w:rsidRPr="00000000" w14:paraId="0000000C">
      <w:pPr>
        <w:numPr>
          <w:ilvl w:val="0"/>
          <w:numId w:val="6"/>
        </w:numPr>
        <w:ind w:left="720" w:hanging="360"/>
        <w:rPr>
          <w:color w:val="020817"/>
          <w:highlight w:val="white"/>
          <w:u w:val="none"/>
        </w:rPr>
      </w:pPr>
      <w:r w:rsidDel="00000000" w:rsidR="00000000" w:rsidRPr="00000000">
        <w:rPr>
          <w:color w:val="020817"/>
          <w:highlight w:val="white"/>
          <w:rtl w:val="0"/>
        </w:rPr>
        <w:t xml:space="preserve">Cardano Node Architecture Refresh (Acropolis)</w:t>
      </w:r>
    </w:p>
    <w:p w:rsidR="00000000" w:rsidDel="00000000" w:rsidP="00000000" w:rsidRDefault="00000000" w:rsidRPr="00000000" w14:paraId="0000000D">
      <w:pPr>
        <w:numPr>
          <w:ilvl w:val="0"/>
          <w:numId w:val="6"/>
        </w:numPr>
        <w:ind w:left="720" w:hanging="360"/>
        <w:rPr>
          <w:color w:val="020817"/>
          <w:highlight w:val="white"/>
          <w:u w:val="none"/>
        </w:rPr>
      </w:pPr>
      <w:r w:rsidDel="00000000" w:rsidR="00000000" w:rsidRPr="00000000">
        <w:rPr>
          <w:color w:val="020817"/>
          <w:highlight w:val="white"/>
          <w:rtl w:val="0"/>
        </w:rPr>
        <w:t xml:space="preserve">Hydra Development</w:t>
      </w:r>
    </w:p>
    <w:p w:rsidR="00000000" w:rsidDel="00000000" w:rsidP="00000000" w:rsidRDefault="00000000" w:rsidRPr="00000000" w14:paraId="0000000E">
      <w:pPr>
        <w:numPr>
          <w:ilvl w:val="0"/>
          <w:numId w:val="6"/>
        </w:numPr>
        <w:ind w:left="720" w:hanging="360"/>
        <w:rPr>
          <w:color w:val="020817"/>
          <w:highlight w:val="white"/>
          <w:u w:val="none"/>
        </w:rPr>
      </w:pPr>
      <w:r w:rsidDel="00000000" w:rsidR="00000000" w:rsidRPr="00000000">
        <w:rPr>
          <w:color w:val="020817"/>
          <w:highlight w:val="white"/>
          <w:rtl w:val="0"/>
        </w:rPr>
        <w:t xml:space="preserve">Minotaur AVS</w:t>
      </w:r>
    </w:p>
    <w:p w:rsidR="00000000" w:rsidDel="00000000" w:rsidP="00000000" w:rsidRDefault="00000000" w:rsidRPr="00000000" w14:paraId="0000000F">
      <w:pPr>
        <w:numPr>
          <w:ilvl w:val="0"/>
          <w:numId w:val="6"/>
        </w:numPr>
        <w:ind w:left="720" w:hanging="360"/>
        <w:rPr>
          <w:color w:val="020817"/>
          <w:highlight w:val="white"/>
          <w:u w:val="none"/>
        </w:rPr>
      </w:pPr>
      <w:r w:rsidDel="00000000" w:rsidR="00000000" w:rsidRPr="00000000">
        <w:rPr>
          <w:color w:val="020817"/>
          <w:highlight w:val="white"/>
          <w:rtl w:val="0"/>
        </w:rPr>
        <w:t xml:space="preserve">Mithril Development</w:t>
      </w:r>
    </w:p>
    <w:p w:rsidR="00000000" w:rsidDel="00000000" w:rsidP="00000000" w:rsidRDefault="00000000" w:rsidRPr="00000000" w14:paraId="00000010">
      <w:pPr>
        <w:numPr>
          <w:ilvl w:val="0"/>
          <w:numId w:val="20"/>
        </w:numPr>
        <w:ind w:left="720" w:hanging="360"/>
        <w:rPr>
          <w:color w:val="020817"/>
          <w:highlight w:val="white"/>
          <w:u w:val="none"/>
        </w:rPr>
      </w:pPr>
      <w:r w:rsidDel="00000000" w:rsidR="00000000" w:rsidRPr="00000000">
        <w:rPr>
          <w:color w:val="020817"/>
          <w:highlight w:val="white"/>
          <w:rtl w:val="0"/>
        </w:rPr>
        <w:t xml:space="preserve">KES Agent</w:t>
      </w:r>
    </w:p>
    <w:p w:rsidR="00000000" w:rsidDel="00000000" w:rsidP="00000000" w:rsidRDefault="00000000" w:rsidRPr="00000000" w14:paraId="00000011">
      <w:pPr>
        <w:numPr>
          <w:ilvl w:val="0"/>
          <w:numId w:val="1"/>
        </w:numPr>
        <w:ind w:left="720" w:hanging="360"/>
        <w:rPr>
          <w:color w:val="020817"/>
          <w:highlight w:val="white"/>
          <w:u w:val="none"/>
        </w:rPr>
      </w:pPr>
      <w:r w:rsidDel="00000000" w:rsidR="00000000" w:rsidRPr="00000000">
        <w:rPr>
          <w:color w:val="020817"/>
          <w:highlight w:val="white"/>
          <w:rtl w:val="0"/>
        </w:rPr>
        <w:t xml:space="preserve">Ledger-HD</w:t>
      </w:r>
    </w:p>
    <w:p w:rsidR="00000000" w:rsidDel="00000000" w:rsidP="00000000" w:rsidRDefault="00000000" w:rsidRPr="00000000" w14:paraId="00000012">
      <w:pPr>
        <w:numPr>
          <w:ilvl w:val="0"/>
          <w:numId w:val="17"/>
        </w:numPr>
        <w:ind w:left="720" w:hanging="360"/>
        <w:rPr>
          <w:color w:val="020817"/>
          <w:highlight w:val="white"/>
          <w:u w:val="none"/>
        </w:rPr>
      </w:pPr>
      <w:r w:rsidDel="00000000" w:rsidR="00000000" w:rsidRPr="00000000">
        <w:rPr>
          <w:color w:val="020817"/>
          <w:highlight w:val="white"/>
          <w:rtl w:val="0"/>
        </w:rPr>
        <w:t xml:space="preserve">Log-Structured Merge (LSM) including UTXO-HD</w:t>
      </w:r>
    </w:p>
    <w:p w:rsidR="00000000" w:rsidDel="00000000" w:rsidP="00000000" w:rsidRDefault="00000000" w:rsidRPr="00000000" w14:paraId="00000013">
      <w:pPr>
        <w:numPr>
          <w:ilvl w:val="0"/>
          <w:numId w:val="16"/>
        </w:numPr>
        <w:ind w:left="720" w:hanging="360"/>
        <w:rPr>
          <w:color w:val="020817"/>
          <w:highlight w:val="white"/>
          <w:u w:val="none"/>
        </w:rPr>
      </w:pPr>
      <w:r w:rsidDel="00000000" w:rsidR="00000000" w:rsidRPr="00000000">
        <w:rPr>
          <w:color w:val="020817"/>
          <w:highlight w:val="white"/>
          <w:rtl w:val="0"/>
        </w:rPr>
        <w:t xml:space="preserve">Revised Stake Pool Incentive Scheme</w:t>
      </w:r>
    </w:p>
    <w:p w:rsidR="00000000" w:rsidDel="00000000" w:rsidP="00000000" w:rsidRDefault="00000000" w:rsidRPr="00000000" w14:paraId="00000014">
      <w:pPr>
        <w:numPr>
          <w:ilvl w:val="0"/>
          <w:numId w:val="13"/>
        </w:numPr>
        <w:ind w:left="720" w:hanging="360"/>
        <w:rPr>
          <w:color w:val="020817"/>
          <w:highlight w:val="white"/>
          <w:u w:val="none"/>
        </w:rPr>
      </w:pPr>
      <w:r w:rsidDel="00000000" w:rsidR="00000000" w:rsidRPr="00000000">
        <w:rPr>
          <w:color w:val="020817"/>
          <w:highlight w:val="white"/>
          <w:rtl w:val="0"/>
        </w:rPr>
        <w:t xml:space="preserve">Nested Transactions (Babel Fees)</w:t>
      </w:r>
    </w:p>
    <w:p w:rsidR="00000000" w:rsidDel="00000000" w:rsidP="00000000" w:rsidRDefault="00000000" w:rsidRPr="00000000" w14:paraId="00000015">
      <w:pPr>
        <w:numPr>
          <w:ilvl w:val="0"/>
          <w:numId w:val="19"/>
        </w:numPr>
        <w:ind w:left="720" w:hanging="360"/>
        <w:rPr>
          <w:color w:val="020817"/>
          <w:highlight w:val="white"/>
          <w:u w:val="none"/>
        </w:rPr>
      </w:pPr>
      <w:r w:rsidDel="00000000" w:rsidR="00000000" w:rsidRPr="00000000">
        <w:rPr>
          <w:color w:val="020817"/>
          <w:highlight w:val="white"/>
          <w:rtl w:val="0"/>
        </w:rPr>
        <w:t xml:space="preserve">Plutus Core Roadmap</w:t>
      </w:r>
    </w:p>
    <w:p w:rsidR="00000000" w:rsidDel="00000000" w:rsidP="00000000" w:rsidRDefault="00000000" w:rsidRPr="00000000" w14:paraId="00000016">
      <w:pPr>
        <w:numPr>
          <w:ilvl w:val="0"/>
          <w:numId w:val="9"/>
        </w:numPr>
        <w:ind w:left="720" w:hanging="360"/>
        <w:rPr>
          <w:color w:val="020817"/>
          <w:highlight w:val="white"/>
          <w:u w:val="none"/>
        </w:rPr>
      </w:pPr>
      <w:r w:rsidDel="00000000" w:rsidR="00000000" w:rsidRPr="00000000">
        <w:rPr>
          <w:color w:val="020817"/>
          <w:highlight w:val="white"/>
          <w:rtl w:val="0"/>
        </w:rPr>
        <w:t xml:space="preserve">Tiered Pricing Models (Plutus High Assurance)</w:t>
      </w:r>
    </w:p>
    <w:p w:rsidR="00000000" w:rsidDel="00000000" w:rsidP="00000000" w:rsidRDefault="00000000" w:rsidRPr="00000000" w14:paraId="00000017">
      <w:pPr>
        <w:numPr>
          <w:ilvl w:val="0"/>
          <w:numId w:val="15"/>
        </w:numPr>
        <w:ind w:left="720" w:hanging="360"/>
        <w:rPr>
          <w:color w:val="020817"/>
          <w:highlight w:val="white"/>
          <w:u w:val="none"/>
        </w:rPr>
      </w:pPr>
      <w:r w:rsidDel="00000000" w:rsidR="00000000" w:rsidRPr="00000000">
        <w:rPr>
          <w:color w:val="020817"/>
          <w:highlight w:val="white"/>
          <w:rtl w:val="0"/>
        </w:rPr>
        <w:t xml:space="preserve">Transaction Monitoring System (Plutus High Assurance)</w:t>
      </w:r>
    </w:p>
    <w:p w:rsidR="00000000" w:rsidDel="00000000" w:rsidP="00000000" w:rsidRDefault="00000000" w:rsidRPr="00000000" w14:paraId="00000018">
      <w:pPr>
        <w:numPr>
          <w:ilvl w:val="0"/>
          <w:numId w:val="7"/>
        </w:numPr>
        <w:ind w:left="720" w:hanging="360"/>
        <w:rPr>
          <w:color w:val="020817"/>
          <w:highlight w:val="white"/>
          <w:u w:val="none"/>
        </w:rPr>
      </w:pPr>
      <w:r w:rsidDel="00000000" w:rsidR="00000000" w:rsidRPr="00000000">
        <w:rPr>
          <w:color w:val="020817"/>
          <w:highlight w:val="white"/>
          <w:rtl w:val="0"/>
        </w:rPr>
        <w:t xml:space="preserve">Maintenance and Support</w:t>
      </w:r>
    </w:p>
    <w:p w:rsidR="00000000" w:rsidDel="00000000" w:rsidP="00000000" w:rsidRDefault="00000000" w:rsidRPr="00000000" w14:paraId="00000019">
      <w:pPr>
        <w:numPr>
          <w:ilvl w:val="0"/>
          <w:numId w:val="14"/>
        </w:numPr>
        <w:ind w:left="720" w:hanging="360"/>
        <w:rPr>
          <w:color w:val="020817"/>
          <w:highlight w:val="white"/>
          <w:u w:val="none"/>
        </w:rPr>
      </w:pPr>
      <w:r w:rsidDel="00000000" w:rsidR="00000000" w:rsidRPr="00000000">
        <w:rPr>
          <w:color w:val="020817"/>
          <w:highlight w:val="white"/>
          <w:rtl w:val="0"/>
        </w:rPr>
        <w:t xml:space="preserve">Audit &amp; Security Assurance</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1C">
      <w:pPr>
        <w:spacing w:after="40" w:lineRule="auto"/>
        <w:rPr/>
      </w:pPr>
      <w:r w:rsidDel="00000000" w:rsidR="00000000" w:rsidRPr="00000000">
        <w:rPr>
          <w:rtl w:val="0"/>
        </w:rPr>
      </w:r>
    </w:p>
    <w:p w:rsidR="00000000" w:rsidDel="00000000" w:rsidP="00000000" w:rsidRDefault="00000000" w:rsidRPr="00000000" w14:paraId="0000001D">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1E">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F">
      <w:pPr>
        <w:rPr>
          <w:color w:val="020817"/>
          <w:highlight w:val="white"/>
        </w:rPr>
      </w:pPr>
      <w:r w:rsidDel="00000000" w:rsidR="00000000" w:rsidRPr="00000000">
        <w:rPr>
          <w:rtl w:val="0"/>
        </w:rPr>
        <w:t xml:space="preserve">This proposal aims to solve the following problem: </w:t>
      </w:r>
      <w:r w:rsidDel="00000000" w:rsidR="00000000" w:rsidRPr="00000000">
        <w:rPr>
          <w:rtl w:val="0"/>
        </w:rPr>
      </w:r>
    </w:p>
    <w:p w:rsidR="00000000" w:rsidDel="00000000" w:rsidP="00000000" w:rsidRDefault="00000000" w:rsidRPr="00000000" w14:paraId="00000020">
      <w:pPr>
        <w:rPr>
          <w:color w:val="020817"/>
          <w:highlight w:val="white"/>
        </w:rPr>
      </w:pP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w:t>
      </w:r>
      <w:r w:rsidDel="00000000" w:rsidR="00000000" w:rsidRPr="00000000">
        <w:rPr>
          <w:color w:val="020817"/>
          <w:highlight w:val="white"/>
          <w:rtl w:val="0"/>
        </w:rPr>
        <w:t xml:space="preserve">Automatic Formal Verification (Plutus High Assurance):** Develop automated formal verification tool for Plinth/Cardano DApps</w:t>
      </w:r>
    </w:p>
    <w:p w:rsidR="00000000" w:rsidDel="00000000" w:rsidP="00000000" w:rsidRDefault="00000000" w:rsidRPr="00000000" w14:paraId="00000022">
      <w:pPr>
        <w:rPr>
          <w:color w:val="020817"/>
          <w:highlight w:val="white"/>
        </w:rPr>
      </w:pPr>
      <w:r w:rsidDel="00000000" w:rsidR="00000000" w:rsidRPr="00000000">
        <w:rPr>
          <w:rtl w:val="0"/>
        </w:rPr>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**Property Based Testing Tool (Plutus High Assurance):** Develop Plinth PBT Tool to automatically generate diverse inputs/actions</w:t>
      </w:r>
    </w:p>
    <w:p w:rsidR="00000000" w:rsidDel="00000000" w:rsidP="00000000" w:rsidRDefault="00000000" w:rsidRPr="00000000" w14:paraId="00000024">
      <w:pPr>
        <w:rPr>
          <w:color w:val="020817"/>
          <w:highlight w:val="white"/>
        </w:rPr>
      </w:pPr>
      <w:r w:rsidDel="00000000" w:rsidR="00000000" w:rsidRPr="00000000">
        <w:rPr>
          <w:rtl w:val="0"/>
        </w:rPr>
      </w:r>
    </w:p>
    <w:p w:rsidR="00000000" w:rsidDel="00000000" w:rsidP="00000000" w:rsidRDefault="00000000" w:rsidRPr="00000000" w14:paraId="00000025">
      <w:pPr>
        <w:rPr>
          <w:color w:val="020817"/>
          <w:highlight w:val="white"/>
        </w:rPr>
      </w:pPr>
      <w:r w:rsidDel="00000000" w:rsidR="00000000" w:rsidRPr="00000000">
        <w:rPr>
          <w:color w:val="020817"/>
          <w:highlight w:val="white"/>
          <w:rtl w:val="0"/>
        </w:rPr>
        <w:t xml:space="preserve">**Static Analyzer (Plutus High Assurance):** Develop "one-click" static analysis tool for Plinth contracts</w:t>
      </w:r>
    </w:p>
    <w:p w:rsidR="00000000" w:rsidDel="00000000" w:rsidP="00000000" w:rsidRDefault="00000000" w:rsidRPr="00000000" w14:paraId="00000026">
      <w:pPr>
        <w:rPr>
          <w:color w:val="020817"/>
          <w:highlight w:val="white"/>
        </w:rPr>
      </w:pPr>
      <w:r w:rsidDel="00000000" w:rsidR="00000000" w:rsidRPr="00000000">
        <w:rPr>
          <w:rtl w:val="0"/>
        </w:rPr>
      </w:r>
    </w:p>
    <w:p w:rsidR="00000000" w:rsidDel="00000000" w:rsidP="00000000" w:rsidRDefault="00000000" w:rsidRPr="00000000" w14:paraId="00000027">
      <w:pPr>
        <w:rPr>
          <w:color w:val="020817"/>
          <w:highlight w:val="white"/>
        </w:rPr>
      </w:pPr>
      <w:r w:rsidDel="00000000" w:rsidR="00000000" w:rsidRPr="00000000">
        <w:rPr>
          <w:color w:val="020817"/>
          <w:highlight w:val="white"/>
          <w:rtl w:val="0"/>
        </w:rPr>
        <w:t xml:space="preserve">**Ouroboros Leios Implementation:** Begin core implementation of Leios L1 consensus protocol</w:t>
      </w:r>
    </w:p>
    <w:p w:rsidR="00000000" w:rsidDel="00000000" w:rsidP="00000000" w:rsidRDefault="00000000" w:rsidRPr="00000000" w14:paraId="00000028">
      <w:pPr>
        <w:rPr>
          <w:color w:val="020817"/>
          <w:highlight w:val="white"/>
        </w:rPr>
      </w:pPr>
      <w:r w:rsidDel="00000000" w:rsidR="00000000" w:rsidRPr="00000000">
        <w:rPr>
          <w:rtl w:val="0"/>
        </w:rPr>
      </w:r>
    </w:p>
    <w:p w:rsidR="00000000" w:rsidDel="00000000" w:rsidP="00000000" w:rsidRDefault="00000000" w:rsidRPr="00000000" w14:paraId="00000029">
      <w:pPr>
        <w:rPr>
          <w:color w:val="020817"/>
          <w:highlight w:val="white"/>
        </w:rPr>
      </w:pPr>
      <w:r w:rsidDel="00000000" w:rsidR="00000000" w:rsidRPr="00000000">
        <w:rPr>
          <w:color w:val="020817"/>
          <w:highlight w:val="white"/>
          <w:rtl w:val="0"/>
        </w:rPr>
        <w:t xml:space="preserve">**Cardano Node Architecture Refresh (Acropolis):** Re-architect the Cardano node into a modular model (Acropolis)</w:t>
      </w:r>
    </w:p>
    <w:p w:rsidR="00000000" w:rsidDel="00000000" w:rsidP="00000000" w:rsidRDefault="00000000" w:rsidRPr="00000000" w14:paraId="0000002A">
      <w:pPr>
        <w:rPr>
          <w:color w:val="020817"/>
          <w:highlight w:val="white"/>
        </w:rPr>
      </w:pPr>
      <w:r w:rsidDel="00000000" w:rsidR="00000000" w:rsidRPr="00000000">
        <w:rPr>
          <w:rtl w:val="0"/>
        </w:rPr>
      </w:r>
    </w:p>
    <w:p w:rsidR="00000000" w:rsidDel="00000000" w:rsidP="00000000" w:rsidRDefault="00000000" w:rsidRPr="00000000" w14:paraId="0000002B">
      <w:pPr>
        <w:rPr>
          <w:color w:val="020817"/>
          <w:highlight w:val="white"/>
        </w:rPr>
      </w:pPr>
      <w:r w:rsidDel="00000000" w:rsidR="00000000" w:rsidRPr="00000000">
        <w:rPr>
          <w:color w:val="020817"/>
          <w:highlight w:val="white"/>
          <w:rtl w:val="0"/>
        </w:rPr>
        <w:t xml:space="preserve">**Hydra Development:** Complete Hydra v1.0 mainnet and full audit, Cardano's L2 state channel solution</w:t>
      </w:r>
    </w:p>
    <w:p w:rsidR="00000000" w:rsidDel="00000000" w:rsidP="00000000" w:rsidRDefault="00000000" w:rsidRPr="00000000" w14:paraId="0000002C">
      <w:pPr>
        <w:rPr>
          <w:color w:val="020817"/>
          <w:highlight w:val="white"/>
        </w:rPr>
      </w:pPr>
      <w:r w:rsidDel="00000000" w:rsidR="00000000" w:rsidRPr="00000000">
        <w:rPr>
          <w:rtl w:val="0"/>
        </w:rPr>
      </w:r>
    </w:p>
    <w:p w:rsidR="00000000" w:rsidDel="00000000" w:rsidP="00000000" w:rsidRDefault="00000000" w:rsidRPr="00000000" w14:paraId="0000002D">
      <w:pPr>
        <w:rPr>
          <w:color w:val="020817"/>
          <w:highlight w:val="white"/>
        </w:rPr>
      </w:pPr>
      <w:r w:rsidDel="00000000" w:rsidR="00000000" w:rsidRPr="00000000">
        <w:rPr>
          <w:color w:val="020817"/>
          <w:highlight w:val="white"/>
          <w:rtl w:val="0"/>
        </w:rPr>
        <w:t xml:space="preserve">**Minotaur AVS:** Launch Minotaur, Actively Validated Service (AVS) leverage Cardano L1 security</w:t>
      </w:r>
    </w:p>
    <w:p w:rsidR="00000000" w:rsidDel="00000000" w:rsidP="00000000" w:rsidRDefault="00000000" w:rsidRPr="00000000" w14:paraId="0000002E">
      <w:pPr>
        <w:rPr>
          <w:color w:val="020817"/>
          <w:highlight w:val="white"/>
        </w:rPr>
      </w:pPr>
      <w:r w:rsidDel="00000000" w:rsidR="00000000" w:rsidRPr="00000000">
        <w:rPr>
          <w:rtl w:val="0"/>
        </w:rPr>
      </w:r>
    </w:p>
    <w:p w:rsidR="00000000" w:rsidDel="00000000" w:rsidP="00000000" w:rsidRDefault="00000000" w:rsidRPr="00000000" w14:paraId="0000002F">
      <w:pPr>
        <w:rPr>
          <w:color w:val="020817"/>
          <w:highlight w:val="white"/>
        </w:rPr>
      </w:pPr>
      <w:r w:rsidDel="00000000" w:rsidR="00000000" w:rsidRPr="00000000">
        <w:rPr>
          <w:color w:val="020817"/>
          <w:highlight w:val="white"/>
          <w:rtl w:val="0"/>
        </w:rPr>
        <w:t xml:space="preserve">**Mithril Development:** Enhance Mithril protocol for secure, efficient access. Speeds up sync, enables light clients</w:t>
      </w:r>
    </w:p>
    <w:p w:rsidR="00000000" w:rsidDel="00000000" w:rsidP="00000000" w:rsidRDefault="00000000" w:rsidRPr="00000000" w14:paraId="00000030">
      <w:pPr>
        <w:rPr>
          <w:color w:val="020817"/>
          <w:highlight w:val="white"/>
        </w:rPr>
      </w:pPr>
      <w:r w:rsidDel="00000000" w:rsidR="00000000" w:rsidRPr="00000000">
        <w:rPr>
          <w:rtl w:val="0"/>
        </w:rPr>
      </w:r>
    </w:p>
    <w:p w:rsidR="00000000" w:rsidDel="00000000" w:rsidP="00000000" w:rsidRDefault="00000000" w:rsidRPr="00000000" w14:paraId="00000031">
      <w:pPr>
        <w:rPr>
          <w:color w:val="020817"/>
          <w:highlight w:val="white"/>
        </w:rPr>
      </w:pPr>
      <w:r w:rsidDel="00000000" w:rsidR="00000000" w:rsidRPr="00000000">
        <w:rPr>
          <w:color w:val="020817"/>
          <w:highlight w:val="white"/>
          <w:rtl w:val="0"/>
        </w:rPr>
        <w:t xml:space="preserve">**KES Agent:** Implement security enhancement for SPO KES key storage and management</w:t>
      </w:r>
    </w:p>
    <w:p w:rsidR="00000000" w:rsidDel="00000000" w:rsidP="00000000" w:rsidRDefault="00000000" w:rsidRPr="00000000" w14:paraId="00000032">
      <w:pPr>
        <w:rPr>
          <w:color w:val="020817"/>
          <w:highlight w:val="white"/>
        </w:rPr>
      </w:pPr>
      <w:r w:rsidDel="00000000" w:rsidR="00000000" w:rsidRPr="00000000">
        <w:rPr>
          <w:rtl w:val="0"/>
        </w:rPr>
      </w:r>
    </w:p>
    <w:p w:rsidR="00000000" w:rsidDel="00000000" w:rsidP="00000000" w:rsidRDefault="00000000" w:rsidRPr="00000000" w14:paraId="00000033">
      <w:pPr>
        <w:rPr>
          <w:color w:val="020817"/>
          <w:highlight w:val="white"/>
        </w:rPr>
      </w:pPr>
      <w:r w:rsidDel="00000000" w:rsidR="00000000" w:rsidRPr="00000000">
        <w:rPr>
          <w:color w:val="020817"/>
          <w:highlight w:val="white"/>
          <w:rtl w:val="0"/>
        </w:rPr>
        <w:t xml:space="preserve">**Ledger-HD:** Move ledger state tables from memory to disk (LSM tech) to reduce RAM</w:t>
      </w:r>
    </w:p>
    <w:p w:rsidR="00000000" w:rsidDel="00000000" w:rsidP="00000000" w:rsidRDefault="00000000" w:rsidRPr="00000000" w14:paraId="00000034">
      <w:pPr>
        <w:rPr>
          <w:color w:val="020817"/>
          <w:highlight w:val="white"/>
        </w:rPr>
      </w:pPr>
      <w:r w:rsidDel="00000000" w:rsidR="00000000" w:rsidRPr="00000000">
        <w:rPr>
          <w:rtl w:val="0"/>
        </w:rPr>
      </w:r>
    </w:p>
    <w:p w:rsidR="00000000" w:rsidDel="00000000" w:rsidP="00000000" w:rsidRDefault="00000000" w:rsidRPr="00000000" w14:paraId="00000035">
      <w:pPr>
        <w:rPr>
          <w:color w:val="020817"/>
          <w:highlight w:val="white"/>
        </w:rPr>
      </w:pPr>
      <w:r w:rsidDel="00000000" w:rsidR="00000000" w:rsidRPr="00000000">
        <w:rPr>
          <w:color w:val="020817"/>
          <w:highlight w:val="white"/>
          <w:rtl w:val="0"/>
        </w:rPr>
        <w:t xml:space="preserve">**Log-Structured Merge (LSM) including UTXO-HD:** Integrate bespoke Well-Typed LSM-tree backend for managing on-disk state</w:t>
      </w:r>
    </w:p>
    <w:p w:rsidR="00000000" w:rsidDel="00000000" w:rsidP="00000000" w:rsidRDefault="00000000" w:rsidRPr="00000000" w14:paraId="00000036">
      <w:pPr>
        <w:rPr>
          <w:color w:val="020817"/>
          <w:highlight w:val="white"/>
        </w:rPr>
      </w:pPr>
      <w:r w:rsidDel="00000000" w:rsidR="00000000" w:rsidRPr="00000000">
        <w:rPr>
          <w:rtl w:val="0"/>
        </w:rPr>
      </w:r>
    </w:p>
    <w:p w:rsidR="00000000" w:rsidDel="00000000" w:rsidP="00000000" w:rsidRDefault="00000000" w:rsidRPr="00000000" w14:paraId="00000037">
      <w:pPr>
        <w:rPr>
          <w:color w:val="020817"/>
          <w:highlight w:val="white"/>
        </w:rPr>
      </w:pPr>
      <w:r w:rsidDel="00000000" w:rsidR="00000000" w:rsidRPr="00000000">
        <w:rPr>
          <w:color w:val="020817"/>
          <w:highlight w:val="white"/>
          <w:rtl w:val="0"/>
        </w:rPr>
        <w:t xml:space="preserve">**Revised Stake Pool Incentive Scheme:** Investigate potential adjustments to SPO incentive scheme</w:t>
      </w:r>
    </w:p>
    <w:p w:rsidR="00000000" w:rsidDel="00000000" w:rsidP="00000000" w:rsidRDefault="00000000" w:rsidRPr="00000000" w14:paraId="00000038">
      <w:pPr>
        <w:rPr>
          <w:color w:val="020817"/>
          <w:highlight w:val="white"/>
        </w:rPr>
      </w:pPr>
      <w:r w:rsidDel="00000000" w:rsidR="00000000" w:rsidRPr="00000000">
        <w:rPr>
          <w:rtl w:val="0"/>
        </w:rPr>
      </w:r>
    </w:p>
    <w:p w:rsidR="00000000" w:rsidDel="00000000" w:rsidP="00000000" w:rsidRDefault="00000000" w:rsidRPr="00000000" w14:paraId="00000039">
      <w:pPr>
        <w:rPr>
          <w:color w:val="020817"/>
          <w:highlight w:val="white"/>
        </w:rPr>
      </w:pPr>
      <w:r w:rsidDel="00000000" w:rsidR="00000000" w:rsidRPr="00000000">
        <w:rPr>
          <w:color w:val="020817"/>
          <w:highlight w:val="white"/>
          <w:rtl w:val="0"/>
        </w:rPr>
        <w:t xml:space="preserve">**Nested Transactions (Babel Fees):** Implement Nested Transactions ledger feature enabling tx batching. Facilitates Babel Fees</w:t>
      </w:r>
    </w:p>
    <w:p w:rsidR="00000000" w:rsidDel="00000000" w:rsidP="00000000" w:rsidRDefault="00000000" w:rsidRPr="00000000" w14:paraId="0000003A">
      <w:pPr>
        <w:rPr>
          <w:color w:val="020817"/>
          <w:highlight w:val="white"/>
        </w:rPr>
      </w:pPr>
      <w:r w:rsidDel="00000000" w:rsidR="00000000" w:rsidRPr="00000000">
        <w:rPr>
          <w:rtl w:val="0"/>
        </w:rPr>
      </w:r>
    </w:p>
    <w:p w:rsidR="00000000" w:rsidDel="00000000" w:rsidP="00000000" w:rsidRDefault="00000000" w:rsidRPr="00000000" w14:paraId="0000003B">
      <w:pPr>
        <w:rPr>
          <w:color w:val="020817"/>
          <w:highlight w:val="white"/>
        </w:rPr>
      </w:pPr>
      <w:r w:rsidDel="00000000" w:rsidR="00000000" w:rsidRPr="00000000">
        <w:rPr>
          <w:color w:val="020817"/>
          <w:highlight w:val="white"/>
          <w:rtl w:val="0"/>
        </w:rPr>
        <w:t xml:space="preserve">**Plutus Core Roadmap:** Execute roadmap for Plutus Core delivering key new primitives</w:t>
      </w:r>
    </w:p>
    <w:p w:rsidR="00000000" w:rsidDel="00000000" w:rsidP="00000000" w:rsidRDefault="00000000" w:rsidRPr="00000000" w14:paraId="0000003C">
      <w:pPr>
        <w:rPr>
          <w:color w:val="020817"/>
          <w:highlight w:val="white"/>
        </w:rPr>
      </w:pPr>
      <w:r w:rsidDel="00000000" w:rsidR="00000000" w:rsidRPr="00000000">
        <w:rPr>
          <w:rtl w:val="0"/>
        </w:rPr>
      </w:r>
    </w:p>
    <w:p w:rsidR="00000000" w:rsidDel="00000000" w:rsidP="00000000" w:rsidRDefault="00000000" w:rsidRPr="00000000" w14:paraId="0000003D">
      <w:pPr>
        <w:rPr>
          <w:color w:val="020817"/>
          <w:highlight w:val="white"/>
        </w:rPr>
      </w:pPr>
      <w:r w:rsidDel="00000000" w:rsidR="00000000" w:rsidRPr="00000000">
        <w:rPr>
          <w:color w:val="020817"/>
          <w:highlight w:val="white"/>
          <w:rtl w:val="0"/>
        </w:rPr>
        <w:t xml:space="preserve">**Tiered Pricing Models (Plutus High Assurance):** Introduce transaction prioritization mechanism to improve predictability during congestion</w:t>
      </w:r>
    </w:p>
    <w:p w:rsidR="00000000" w:rsidDel="00000000" w:rsidP="00000000" w:rsidRDefault="00000000" w:rsidRPr="00000000" w14:paraId="0000003E">
      <w:pPr>
        <w:rPr>
          <w:color w:val="020817"/>
          <w:highlight w:val="white"/>
        </w:rPr>
      </w:pPr>
      <w:r w:rsidDel="00000000" w:rsidR="00000000" w:rsidRPr="00000000">
        <w:rPr>
          <w:rtl w:val="0"/>
        </w:rPr>
      </w:r>
    </w:p>
    <w:p w:rsidR="00000000" w:rsidDel="00000000" w:rsidP="00000000" w:rsidRDefault="00000000" w:rsidRPr="00000000" w14:paraId="0000003F">
      <w:pPr>
        <w:rPr>
          <w:color w:val="020817"/>
          <w:highlight w:val="white"/>
        </w:rPr>
      </w:pPr>
      <w:r w:rsidDel="00000000" w:rsidR="00000000" w:rsidRPr="00000000">
        <w:rPr>
          <w:color w:val="020817"/>
          <w:highlight w:val="white"/>
          <w:rtl w:val="0"/>
        </w:rPr>
        <w:t xml:space="preserve">**Transaction Monitoring System (Plutus High Assurance):** Develop system to monitor transactions, detect potential fraud/anomalies</w:t>
      </w:r>
    </w:p>
    <w:p w:rsidR="00000000" w:rsidDel="00000000" w:rsidP="00000000" w:rsidRDefault="00000000" w:rsidRPr="00000000" w14:paraId="00000040">
      <w:pPr>
        <w:rPr>
          <w:color w:val="020817"/>
          <w:highlight w:val="white"/>
        </w:rPr>
      </w:pPr>
      <w:r w:rsidDel="00000000" w:rsidR="00000000" w:rsidRPr="00000000">
        <w:rPr>
          <w:rtl w:val="0"/>
        </w:rPr>
      </w:r>
    </w:p>
    <w:p w:rsidR="00000000" w:rsidDel="00000000" w:rsidP="00000000" w:rsidRDefault="00000000" w:rsidRPr="00000000" w14:paraId="00000041">
      <w:pPr>
        <w:rPr>
          <w:color w:val="020817"/>
          <w:highlight w:val="white"/>
        </w:rPr>
      </w:pPr>
      <w:r w:rsidDel="00000000" w:rsidR="00000000" w:rsidRPr="00000000">
        <w:rPr>
          <w:color w:val="020817"/>
          <w:highlight w:val="white"/>
          <w:rtl w:val="0"/>
        </w:rPr>
        <w:t xml:space="preserve">**Maintenance and Support:** Maintenance of existing code base, ongoing support. Includes cost of running Test &amp; Tracing setup</w:t>
      </w:r>
    </w:p>
    <w:p w:rsidR="00000000" w:rsidDel="00000000" w:rsidP="00000000" w:rsidRDefault="00000000" w:rsidRPr="00000000" w14:paraId="00000042">
      <w:pPr>
        <w:rPr>
          <w:color w:val="020817"/>
          <w:highlight w:val="white"/>
        </w:rPr>
      </w:pPr>
      <w:r w:rsidDel="00000000" w:rsidR="00000000" w:rsidRPr="00000000">
        <w:rPr>
          <w:rtl w:val="0"/>
        </w:rPr>
      </w:r>
    </w:p>
    <w:p w:rsidR="00000000" w:rsidDel="00000000" w:rsidP="00000000" w:rsidRDefault="00000000" w:rsidRPr="00000000" w14:paraId="00000043">
      <w:pPr>
        <w:rPr/>
      </w:pPr>
      <w:r w:rsidDel="00000000" w:rsidR="00000000" w:rsidRPr="00000000">
        <w:rPr>
          <w:color w:val="020817"/>
          <w:highlight w:val="white"/>
          <w:rtl w:val="0"/>
        </w:rPr>
        <w:t xml:space="preserve">**Audit &amp; Security Assurance:** Engage independent audits and security assurance. Consolidated item</w:t>
      </w:r>
      <w:r w:rsidDel="00000000" w:rsidR="00000000" w:rsidRPr="00000000">
        <w:rPr>
          <w:rtl w:val="0"/>
        </w:rPr>
      </w:r>
    </w:p>
    <w:p w:rsidR="00000000" w:rsidDel="00000000" w:rsidP="00000000" w:rsidRDefault="00000000" w:rsidRPr="00000000" w14:paraId="00000044">
      <w:pPr>
        <w:rPr>
          <w:color w:val="020817"/>
          <w:highlight w:val="white"/>
        </w:rPr>
      </w:pPr>
      <w:r w:rsidDel="00000000" w:rsidR="00000000" w:rsidRPr="00000000">
        <w:rPr>
          <w:rtl w:val="0"/>
        </w:rPr>
      </w:r>
    </w:p>
    <w:p w:rsidR="00000000" w:rsidDel="00000000" w:rsidP="00000000" w:rsidRDefault="00000000" w:rsidRPr="00000000" w14:paraId="00000045">
      <w:pPr>
        <w:rPr>
          <w:color w:val="020817"/>
          <w:highlight w:val="white"/>
        </w:rPr>
      </w:pPr>
      <w:r w:rsidDel="00000000" w:rsidR="00000000" w:rsidRPr="00000000">
        <w:rPr>
          <w:color w:val="020817"/>
          <w:highlight w:val="white"/>
          <w:rtl w:val="0"/>
        </w:rPr>
        <w:t xml:space="preserve">This proposal addresses several critical challenges and opportunities within the Cardano ecosystem necessary for its continued growth, competitiveness, and decentralization. Key problems include:</w:t>
      </w:r>
    </w:p>
    <w:p w:rsidR="00000000" w:rsidDel="00000000" w:rsidP="00000000" w:rsidRDefault="00000000" w:rsidRPr="00000000" w14:paraId="00000046">
      <w:pPr>
        <w:rPr>
          <w:color w:val="020817"/>
          <w:highlight w:val="white"/>
        </w:rPr>
      </w:pPr>
      <w:r w:rsidDel="00000000" w:rsidR="00000000" w:rsidRPr="00000000">
        <w:rPr>
          <w:rtl w:val="0"/>
        </w:rPr>
      </w:r>
    </w:p>
    <w:p w:rsidR="00000000" w:rsidDel="00000000" w:rsidP="00000000" w:rsidRDefault="00000000" w:rsidRPr="00000000" w14:paraId="00000047">
      <w:pPr>
        <w:rPr>
          <w:color w:val="020817"/>
          <w:highlight w:val="white"/>
        </w:rPr>
      </w:pPr>
      <w:r w:rsidDel="00000000" w:rsidR="00000000" w:rsidRPr="00000000">
        <w:rPr>
          <w:color w:val="020817"/>
          <w:highlight w:val="white"/>
          <w:rtl w:val="0"/>
        </w:rPr>
        <w:t xml:space="preserve">* **Scalability Limitations:** The current L1 infrastructure faces throughput constraints during high demand, hindering user experience and application potential. There's a need for significant scaling solutions at both Layer 1 (consensus) and Layer 2.</w:t>
      </w:r>
    </w:p>
    <w:p w:rsidR="00000000" w:rsidDel="00000000" w:rsidP="00000000" w:rsidRDefault="00000000" w:rsidRPr="00000000" w14:paraId="00000048">
      <w:pPr>
        <w:rPr>
          <w:color w:val="020817"/>
          <w:highlight w:val="white"/>
        </w:rPr>
      </w:pPr>
      <w:r w:rsidDel="00000000" w:rsidR="00000000" w:rsidRPr="00000000">
        <w:rPr>
          <w:rtl w:val="0"/>
        </w:rPr>
      </w:r>
    </w:p>
    <w:p w:rsidR="00000000" w:rsidDel="00000000" w:rsidP="00000000" w:rsidRDefault="00000000" w:rsidRPr="00000000" w14:paraId="00000049">
      <w:pPr>
        <w:rPr>
          <w:color w:val="020817"/>
          <w:highlight w:val="white"/>
        </w:rPr>
      </w:pPr>
      <w:r w:rsidDel="00000000" w:rsidR="00000000" w:rsidRPr="00000000">
        <w:rPr>
          <w:color w:val="020817"/>
          <w:highlight w:val="white"/>
          <w:rtl w:val="0"/>
        </w:rPr>
        <w:t xml:space="preserve">* **Node Architecture &amp; Performance:** The existing node design presents limitations in terms of modularity, extensibility, performance (especially RAM usage), and ease of contribution from diverse development teams.</w:t>
      </w:r>
    </w:p>
    <w:p w:rsidR="00000000" w:rsidDel="00000000" w:rsidP="00000000" w:rsidRDefault="00000000" w:rsidRPr="00000000" w14:paraId="0000004A">
      <w:pPr>
        <w:rPr>
          <w:color w:val="020817"/>
          <w:highlight w:val="white"/>
        </w:rPr>
      </w:pPr>
      <w:r w:rsidDel="00000000" w:rsidR="00000000" w:rsidRPr="00000000">
        <w:rPr>
          <w:rtl w:val="0"/>
        </w:rPr>
      </w:r>
    </w:p>
    <w:p w:rsidR="00000000" w:rsidDel="00000000" w:rsidP="00000000" w:rsidRDefault="00000000" w:rsidRPr="00000000" w14:paraId="0000004B">
      <w:pPr>
        <w:rPr>
          <w:color w:val="020817"/>
          <w:highlight w:val="white"/>
        </w:rPr>
      </w:pPr>
      <w:r w:rsidDel="00000000" w:rsidR="00000000" w:rsidRPr="00000000">
        <w:rPr>
          <w:color w:val="020817"/>
          <w:highlight w:val="white"/>
          <w:rtl w:val="0"/>
        </w:rPr>
        <w:t xml:space="preserve">* **Smart Contract Assurance &amp; Developer Experience:** Developers require enhanced tools for ensuring the security, correctness, and efficiency of smart contracts to build trust and reduce risks. Improving the Plinth/Aiken/Plutarch ecosystem and providing robust testing/verification tools is essential.</w:t>
      </w:r>
    </w:p>
    <w:p w:rsidR="00000000" w:rsidDel="00000000" w:rsidP="00000000" w:rsidRDefault="00000000" w:rsidRPr="00000000" w14:paraId="0000004C">
      <w:pPr>
        <w:rPr>
          <w:color w:val="020817"/>
          <w:highlight w:val="white"/>
        </w:rPr>
      </w:pPr>
      <w:r w:rsidDel="00000000" w:rsidR="00000000" w:rsidRPr="00000000">
        <w:rPr>
          <w:rtl w:val="0"/>
        </w:rPr>
      </w:r>
    </w:p>
    <w:p w:rsidR="00000000" w:rsidDel="00000000" w:rsidP="00000000" w:rsidRDefault="00000000" w:rsidRPr="00000000" w14:paraId="0000004D">
      <w:pPr>
        <w:rPr>
          <w:color w:val="020817"/>
          <w:highlight w:val="white"/>
        </w:rPr>
      </w:pPr>
      <w:r w:rsidDel="00000000" w:rsidR="00000000" w:rsidRPr="00000000">
        <w:rPr>
          <w:color w:val="020817"/>
          <w:highlight w:val="white"/>
          <w:rtl w:val="0"/>
        </w:rPr>
        <w:t xml:space="preserve">* **SPO Viability &amp; Security:** Ensuring the operational security of Stake Pool Operators (SPOs) and investigating the fairness and sustainability of the incentive mechanism is vital for network health and decentralization.</w:t>
      </w:r>
    </w:p>
    <w:p w:rsidR="00000000" w:rsidDel="00000000" w:rsidP="00000000" w:rsidRDefault="00000000" w:rsidRPr="00000000" w14:paraId="0000004E">
      <w:pPr>
        <w:rPr>
          <w:color w:val="020817"/>
          <w:highlight w:val="white"/>
        </w:rPr>
      </w:pPr>
      <w:r w:rsidDel="00000000" w:rsidR="00000000" w:rsidRPr="00000000">
        <w:rPr>
          <w:rtl w:val="0"/>
        </w:rPr>
      </w:r>
    </w:p>
    <w:p w:rsidR="00000000" w:rsidDel="00000000" w:rsidP="00000000" w:rsidRDefault="00000000" w:rsidRPr="00000000" w14:paraId="0000004F">
      <w:pPr>
        <w:rPr>
          <w:color w:val="020817"/>
          <w:highlight w:val="white"/>
        </w:rPr>
      </w:pPr>
      <w:r w:rsidDel="00000000" w:rsidR="00000000" w:rsidRPr="00000000">
        <w:rPr>
          <w:color w:val="020817"/>
          <w:highlight w:val="white"/>
          <w:rtl w:val="0"/>
        </w:rPr>
        <w:t xml:space="preserve">* **User Experience &amp; Adoption Barriers:** Friction points like mandatory ADA fee payments and unpredictable transaction inclusion during congestion need addressing to improve usability and attract broader adoption.</w:t>
      </w:r>
    </w:p>
    <w:p w:rsidR="00000000" w:rsidDel="00000000" w:rsidP="00000000" w:rsidRDefault="00000000" w:rsidRPr="00000000" w14:paraId="00000050">
      <w:pPr>
        <w:rPr>
          <w:color w:val="020817"/>
          <w:highlight w:val="white"/>
        </w:rPr>
      </w:pPr>
      <w:r w:rsidDel="00000000" w:rsidR="00000000" w:rsidRPr="00000000">
        <w:rPr>
          <w:rtl w:val="0"/>
        </w:rPr>
      </w:r>
    </w:p>
    <w:p w:rsidR="00000000" w:rsidDel="00000000" w:rsidP="00000000" w:rsidRDefault="00000000" w:rsidRPr="00000000" w14:paraId="00000051">
      <w:pPr>
        <w:rPr>
          <w:color w:val="020817"/>
          <w:highlight w:val="white"/>
        </w:rPr>
      </w:pPr>
      <w:r w:rsidDel="00000000" w:rsidR="00000000" w:rsidRPr="00000000">
        <w:rPr>
          <w:color w:val="020817"/>
          <w:highlight w:val="white"/>
          <w:rtl w:val="0"/>
        </w:rPr>
        <w:t xml:space="preserve">* **Ecosystem Competitiveness:** Cardano needs to integrate emerging blockchain paradigms like Actively Validated Services (AVS) to remain competitive and offer diverse functionalities.</w:t>
      </w:r>
    </w:p>
    <w:p w:rsidR="00000000" w:rsidDel="00000000" w:rsidP="00000000" w:rsidRDefault="00000000" w:rsidRPr="00000000" w14:paraId="00000052">
      <w:pPr>
        <w:rPr>
          <w:color w:val="020817"/>
          <w:highlight w:val="white"/>
        </w:rPr>
      </w:pPr>
      <w:r w:rsidDel="00000000" w:rsidR="00000000" w:rsidRPr="00000000">
        <w:rPr>
          <w:rtl w:val="0"/>
        </w:rPr>
      </w:r>
    </w:p>
    <w:p w:rsidR="00000000" w:rsidDel="00000000" w:rsidP="00000000" w:rsidRDefault="00000000" w:rsidRPr="00000000" w14:paraId="00000053">
      <w:pPr>
        <w:rPr>
          <w:color w:val="020817"/>
          <w:highlight w:val="white"/>
        </w:rPr>
      </w:pPr>
      <w:r w:rsidDel="00000000" w:rsidR="00000000" w:rsidRPr="00000000">
        <w:rPr>
          <w:color w:val="020817"/>
          <w:highlight w:val="white"/>
          <w:rtl w:val="0"/>
        </w:rPr>
        <w:t xml:space="preserve">* **Core Maintenance &amp; Knowledge Transfer:** The foundational codebase requires ongoing maintenance, modernization, technical debt reduction, and structured knowledge sharing to ensure stability and enable broader community participation in core development.</w:t>
      </w:r>
      <w:r w:rsidDel="00000000" w:rsidR="00000000" w:rsidRPr="00000000">
        <w:rPr>
          <w:rtl w:val="0"/>
        </w:rPr>
      </w:r>
    </w:p>
    <w:p w:rsidR="00000000" w:rsidDel="00000000" w:rsidP="00000000" w:rsidRDefault="00000000" w:rsidRPr="00000000" w14:paraId="00000054">
      <w:pPr>
        <w:ind w:left="0" w:firstLine="0"/>
        <w:rPr>
          <w:b w:val="1"/>
          <w:i w:val="1"/>
        </w:rPr>
      </w:pPr>
      <w:r w:rsidDel="00000000" w:rsidR="00000000" w:rsidRPr="00000000">
        <w:rPr>
          <w:rtl w:val="0"/>
        </w:rPr>
      </w:r>
    </w:p>
    <w:p w:rsidR="00000000" w:rsidDel="00000000" w:rsidP="00000000" w:rsidRDefault="00000000" w:rsidRPr="00000000" w14:paraId="00000055">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56">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57">
      <w:pPr>
        <w:rPr>
          <w:color w:val="020817"/>
          <w:highlight w:val="white"/>
        </w:rPr>
      </w:pPr>
      <w:r w:rsidDel="00000000" w:rsidR="00000000" w:rsidRPr="00000000">
        <w:rPr>
          <w:color w:val="020817"/>
          <w:highlight w:val="white"/>
          <w:rtl w:val="0"/>
        </w:rPr>
        <w:t xml:space="preserve">In this proposal, IOE and its collaborators outline key core Cardano platform developments aimed at substantially improving network scalability, security, performance, and usability, while enhancing developer support.</w:t>
      </w:r>
    </w:p>
    <w:p w:rsidR="00000000" w:rsidDel="00000000" w:rsidP="00000000" w:rsidRDefault="00000000" w:rsidRPr="00000000" w14:paraId="00000058">
      <w:pPr>
        <w:rPr>
          <w:color w:val="020817"/>
          <w:highlight w:val="white"/>
        </w:rPr>
      </w:pPr>
      <w:r w:rsidDel="00000000" w:rsidR="00000000" w:rsidRPr="00000000">
        <w:rPr>
          <w:rtl w:val="0"/>
        </w:rPr>
      </w:r>
    </w:p>
    <w:p w:rsidR="00000000" w:rsidDel="00000000" w:rsidP="00000000" w:rsidRDefault="00000000" w:rsidRPr="00000000" w14:paraId="00000059">
      <w:pPr>
        <w:rPr>
          <w:color w:val="020817"/>
          <w:highlight w:val="white"/>
        </w:rPr>
      </w:pPr>
      <w:r w:rsidDel="00000000" w:rsidR="00000000" w:rsidRPr="00000000">
        <w:rPr>
          <w:color w:val="020817"/>
          <w:highlight w:val="white"/>
          <w:rtl w:val="0"/>
        </w:rPr>
        <w:t xml:space="preserve">Implementation of these initiatives offers substantial benefits across the Cardano community, which collectively, enhance Cardano's technical foundations, enabling it to support a larger, more complex, and more active ecosystem:</w:t>
      </w:r>
    </w:p>
    <w:p w:rsidR="00000000" w:rsidDel="00000000" w:rsidP="00000000" w:rsidRDefault="00000000" w:rsidRPr="00000000" w14:paraId="0000005A">
      <w:pPr>
        <w:rPr>
          <w:color w:val="020817"/>
          <w:highlight w:val="white"/>
        </w:rPr>
      </w:pPr>
      <w:r w:rsidDel="00000000" w:rsidR="00000000" w:rsidRPr="00000000">
        <w:rPr>
          <w:rtl w:val="0"/>
        </w:rPr>
      </w:r>
    </w:p>
    <w:p w:rsidR="00000000" w:rsidDel="00000000" w:rsidP="00000000" w:rsidRDefault="00000000" w:rsidRPr="00000000" w14:paraId="0000005B">
      <w:pPr>
        <w:rPr>
          <w:color w:val="020817"/>
          <w:highlight w:val="white"/>
        </w:rPr>
      </w:pPr>
      <w:r w:rsidDel="00000000" w:rsidR="00000000" w:rsidRPr="00000000">
        <w:rPr>
          <w:color w:val="020817"/>
          <w:highlight w:val="white"/>
          <w:rtl w:val="0"/>
        </w:rPr>
        <w:t xml:space="preserve">* **For the Ecosystem:** Delivers massive L1 throughput increase (Leios), robust L2 scaling (Hydra, Mithril), and positions Cardano competitively in new areas like AVS (Minotaur). Enhances overall network security, resilience, and decentralization. Fosters supplier diversity through knowledge sharing and modular architecture (Acropolis). The ROI stems from increased network capacity, utility, and attractiveness, driving adoption and value.</w:t>
      </w:r>
    </w:p>
    <w:p w:rsidR="00000000" w:rsidDel="00000000" w:rsidP="00000000" w:rsidRDefault="00000000" w:rsidRPr="00000000" w14:paraId="0000005C">
      <w:pPr>
        <w:rPr>
          <w:color w:val="020817"/>
          <w:highlight w:val="white"/>
        </w:rPr>
      </w:pPr>
      <w:r w:rsidDel="00000000" w:rsidR="00000000" w:rsidRPr="00000000">
        <w:rPr>
          <w:rtl w:val="0"/>
        </w:rPr>
      </w:r>
    </w:p>
    <w:p w:rsidR="00000000" w:rsidDel="00000000" w:rsidP="00000000" w:rsidRDefault="00000000" w:rsidRPr="00000000" w14:paraId="0000005D">
      <w:pPr>
        <w:rPr>
          <w:color w:val="020817"/>
          <w:highlight w:val="white"/>
        </w:rPr>
      </w:pPr>
      <w:r w:rsidDel="00000000" w:rsidR="00000000" w:rsidRPr="00000000">
        <w:rPr>
          <w:color w:val="020817"/>
          <w:highlight w:val="white"/>
          <w:rtl w:val="0"/>
        </w:rPr>
        <w:t xml:space="preserve">* **For End Users:** Experience significantly reduced network congestion and faster transaction processing (Leios), near-instant finality for specific applications (Hydra), the convenience of paying fees with native tokens (Nested Transactions/Babel Fees), and potentially more predictable transaction inclusion (Tiered Pricing). Enhanced security measures build user trust.</w:t>
      </w:r>
    </w:p>
    <w:p w:rsidR="00000000" w:rsidDel="00000000" w:rsidP="00000000" w:rsidRDefault="00000000" w:rsidRPr="00000000" w14:paraId="0000005E">
      <w:pPr>
        <w:rPr>
          <w:color w:val="020817"/>
          <w:highlight w:val="white"/>
        </w:rPr>
      </w:pPr>
      <w:r w:rsidDel="00000000" w:rsidR="00000000" w:rsidRPr="00000000">
        <w:rPr>
          <w:rtl w:val="0"/>
        </w:rPr>
      </w:r>
    </w:p>
    <w:p w:rsidR="00000000" w:rsidDel="00000000" w:rsidP="00000000" w:rsidRDefault="00000000" w:rsidRPr="00000000" w14:paraId="0000005F">
      <w:pPr>
        <w:rPr>
          <w:color w:val="020817"/>
          <w:highlight w:val="white"/>
        </w:rPr>
      </w:pPr>
      <w:r w:rsidDel="00000000" w:rsidR="00000000" w:rsidRPr="00000000">
        <w:rPr>
          <w:color w:val="020817"/>
          <w:highlight w:val="white"/>
          <w:rtl w:val="0"/>
        </w:rPr>
        <w:t xml:space="preserve">* **For Developers &amp; dApp Builders:** Gain access to advanced tools for building more secure and efficient smart contracts (Plutus High Assurance suite, Plutus Core enhancements). Benefit from a more extensible and accessible node architecture (Acropolis), easier integration with L2s and light clients (Hydra, Mithril), and improved transaction capabilities (Nested Transactions). This lowers development barriers and enables more sophisticated applications.</w:t>
      </w:r>
    </w:p>
    <w:p w:rsidR="00000000" w:rsidDel="00000000" w:rsidP="00000000" w:rsidRDefault="00000000" w:rsidRPr="00000000" w14:paraId="00000060">
      <w:pPr>
        <w:rPr>
          <w:color w:val="020817"/>
          <w:highlight w:val="white"/>
        </w:rPr>
      </w:pPr>
      <w:r w:rsidDel="00000000" w:rsidR="00000000" w:rsidRPr="00000000">
        <w:rPr>
          <w:rtl w:val="0"/>
        </w:rPr>
      </w:r>
    </w:p>
    <w:p w:rsidR="00000000" w:rsidDel="00000000" w:rsidP="00000000" w:rsidRDefault="00000000" w:rsidRPr="00000000" w14:paraId="00000061">
      <w:pPr>
        <w:rPr>
          <w:color w:val="020817"/>
          <w:highlight w:val="white"/>
        </w:rPr>
      </w:pPr>
      <w:r w:rsidDel="00000000" w:rsidR="00000000" w:rsidRPr="00000000">
        <w:rPr>
          <w:color w:val="020817"/>
          <w:highlight w:val="white"/>
          <w:rtl w:val="0"/>
        </w:rPr>
        <w:t xml:space="preserve">* **For Stake Pool Operators (SPOs):** Benefit from significantly reduced node operational costs (lower RAM requirements via Ledger-HD, LSM/UTXO-HD), enhanced operational security (KES Agent), improved network performance, potential new revenue streams (Minotaur AVS), and a potentially fairer incentive structure (Revised Scheme investigation). Mithril improvements speed up node synchronization.</w:t>
      </w:r>
      <w:r w:rsidDel="00000000" w:rsidR="00000000" w:rsidRPr="00000000">
        <w:rPr>
          <w:rtl w:val="0"/>
        </w:rPr>
      </w:r>
    </w:p>
    <w:p w:rsidR="00000000" w:rsidDel="00000000" w:rsidP="00000000" w:rsidRDefault="00000000" w:rsidRPr="00000000" w14:paraId="00000062">
      <w:pPr>
        <w:rPr>
          <w:i w:val="1"/>
          <w:color w:val="020817"/>
          <w:sz w:val="21"/>
          <w:szCs w:val="21"/>
          <w:highlight w:val="white"/>
        </w:rPr>
      </w:pPr>
      <w:r w:rsidDel="00000000" w:rsidR="00000000" w:rsidRPr="00000000">
        <w:rPr>
          <w:rtl w:val="0"/>
        </w:rPr>
      </w:r>
    </w:p>
    <w:p w:rsidR="00000000" w:rsidDel="00000000" w:rsidP="00000000" w:rsidRDefault="00000000" w:rsidRPr="00000000" w14:paraId="00000063">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64">
      <w:pPr>
        <w:rPr>
          <w:color w:val="020817"/>
          <w:highlight w:val="white"/>
        </w:rPr>
      </w:pPr>
      <w:r w:rsidDel="00000000" w:rsidR="00000000" w:rsidRPr="00000000">
        <w:rPr>
          <w:color w:val="020817"/>
          <w:highlight w:val="white"/>
          <w:rtl w:val="0"/>
        </w:rPr>
        <w:t xml:space="preserve">Input Output (IO) realized Cardano's vision for a secure, scalable, decentralized platform through a research-driven, phased delivery (Byron to Voltaire). Leveraging formal methods, functional programming, and rigorous engineering, IO produced key achievements including Proof-of-Stake, Ouroboros consensus, Plutus smart contracts, native tokens, and scaling solutions like Hydra and Mithril.</w:t>
      </w:r>
    </w:p>
    <w:p w:rsidR="00000000" w:rsidDel="00000000" w:rsidP="00000000" w:rsidRDefault="00000000" w:rsidRPr="00000000" w14:paraId="00000065">
      <w:pPr>
        <w:rPr>
          <w:color w:val="020817"/>
          <w:highlight w:val="white"/>
        </w:rPr>
      </w:pPr>
      <w:r w:rsidDel="00000000" w:rsidR="00000000" w:rsidRPr="00000000">
        <w:rPr>
          <w:rtl w:val="0"/>
        </w:rPr>
      </w:r>
    </w:p>
    <w:p w:rsidR="00000000" w:rsidDel="00000000" w:rsidP="00000000" w:rsidRDefault="00000000" w:rsidRPr="00000000" w14:paraId="00000066">
      <w:pPr>
        <w:rPr>
          <w:color w:val="020817"/>
          <w:highlight w:val="white"/>
        </w:rPr>
      </w:pPr>
      <w:r w:rsidDel="00000000" w:rsidR="00000000" w:rsidRPr="00000000">
        <w:rPr>
          <w:color w:val="020817"/>
          <w:highlight w:val="white"/>
          <w:rtl w:val="0"/>
        </w:rPr>
        <w:t xml:space="preserve">IOE and its partners' involvement spans the entire existence of Cardano, and is demonstrated daily by its active development, support, and maintenance. Key personnel essential to this long-standing contribution are retained to continue this effort through 2025 and into 2026.</w:t>
      </w:r>
    </w:p>
    <w:p w:rsidR="00000000" w:rsidDel="00000000" w:rsidP="00000000" w:rsidRDefault="00000000" w:rsidRPr="00000000" w14:paraId="00000067">
      <w:pPr>
        <w:rPr>
          <w:color w:val="020817"/>
          <w:highlight w:val="white"/>
        </w:rPr>
      </w:pPr>
      <w:r w:rsidDel="00000000" w:rsidR="00000000" w:rsidRPr="00000000">
        <w:rPr>
          <w:rtl w:val="0"/>
        </w:rPr>
      </w:r>
    </w:p>
    <w:p w:rsidR="00000000" w:rsidDel="00000000" w:rsidP="00000000" w:rsidRDefault="00000000" w:rsidRPr="00000000" w14:paraId="00000068">
      <w:pPr>
        <w:rPr>
          <w:color w:val="020817"/>
          <w:highlight w:val="white"/>
        </w:rPr>
      </w:pPr>
      <w:r w:rsidDel="00000000" w:rsidR="00000000" w:rsidRPr="00000000">
        <w:rPr>
          <w:color w:val="020817"/>
          <w:highlight w:val="white"/>
          <w:rtl w:val="0"/>
        </w:rPr>
        <w:t xml:space="preserve">IO remains committed to furthering Cardano’s technical development, research and community engagement.</w:t>
      </w:r>
    </w:p>
    <w:p w:rsidR="00000000" w:rsidDel="00000000" w:rsidP="00000000" w:rsidRDefault="00000000" w:rsidRPr="00000000" w14:paraId="00000069">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6C">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6F">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70">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7D">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7E">
      <w:pPr>
        <w:jc w:val="both"/>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high level permissions are as follows:</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TRSC Fund and PSSC Modify</w:t>
      </w:r>
    </w:p>
    <w:p w:rsidR="00000000" w:rsidDel="00000000" w:rsidP="00000000" w:rsidRDefault="00000000" w:rsidRPr="00000000" w14:paraId="00000086">
      <w:pPr>
        <w:numPr>
          <w:ilvl w:val="1"/>
          <w:numId w:val="3"/>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TRSC Disperse</w:t>
      </w:r>
    </w:p>
    <w:p w:rsidR="00000000" w:rsidDel="00000000" w:rsidP="00000000" w:rsidRDefault="00000000" w:rsidRPr="00000000" w14:paraId="00000088">
      <w:pPr>
        <w:numPr>
          <w:ilvl w:val="1"/>
          <w:numId w:val="3"/>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TRSC Pause and Resume</w:t>
      </w:r>
    </w:p>
    <w:p w:rsidR="00000000" w:rsidDel="00000000" w:rsidP="00000000" w:rsidRDefault="00000000" w:rsidRPr="00000000" w14:paraId="0000008A">
      <w:pPr>
        <w:numPr>
          <w:ilvl w:val="1"/>
          <w:numId w:val="3"/>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TRSC Sweep</w:t>
      </w:r>
    </w:p>
    <w:p w:rsidR="00000000" w:rsidDel="00000000" w:rsidP="00000000" w:rsidRDefault="00000000" w:rsidRPr="00000000" w14:paraId="0000008C">
      <w:pPr>
        <w:numPr>
          <w:ilvl w:val="1"/>
          <w:numId w:val="3"/>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TRSC Reorganize</w:t>
      </w:r>
    </w:p>
    <w:p w:rsidR="00000000" w:rsidDel="00000000" w:rsidP="00000000" w:rsidRDefault="00000000" w:rsidRPr="00000000" w14:paraId="0000008E">
      <w:pPr>
        <w:numPr>
          <w:ilvl w:val="1"/>
          <w:numId w:val="3"/>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8F">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90">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95">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Input Output Engineering 2025 Core Development Proposal v1.1</w:t>
      </w:r>
      <w:r w:rsidDel="00000000" w:rsidR="00000000" w:rsidRPr="00000000">
        <w:rPr>
          <w:rtl w:val="0"/>
        </w:rPr>
        <w:t xml:space="preserve"> (PDF)</w:t>
      </w:r>
    </w:p>
    <w:p w:rsidR="00000000" w:rsidDel="00000000" w:rsidP="00000000" w:rsidRDefault="00000000" w:rsidRPr="00000000" w14:paraId="00000098">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r w:rsidDel="00000000" w:rsidR="00000000" w:rsidRPr="00000000">
        <w:rPr>
          <w:rFonts w:ascii="Courier New" w:cs="Courier New" w:eastAsia="Courier New" w:hAnsi="Courier New"/>
          <w:rtl w:val="0"/>
        </w:rPr>
        <w:t xml:space="preserve">bafybeicabpq4cu6eev53m3ywiczbidyn2ivos4tglq7vy3gkbklp3dk5zi</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Project Proposal In Ekklesia</w:t>
      </w:r>
    </w:p>
    <w:p w:rsidR="00000000" w:rsidDel="00000000" w:rsidP="00000000" w:rsidRDefault="00000000" w:rsidRPr="00000000" w14:paraId="0000009B">
      <w:pPr>
        <w:numPr>
          <w:ilvl w:val="0"/>
          <w:numId w:val="11"/>
        </w:numPr>
        <w:ind w:left="720" w:hanging="360"/>
      </w:pPr>
      <w:hyperlink r:id="rId11">
        <w:r w:rsidDel="00000000" w:rsidR="00000000" w:rsidRPr="00000000">
          <w:rPr>
            <w:color w:val="1155cc"/>
            <w:u w:val="single"/>
            <w:rtl w:val="0"/>
          </w:rPr>
          <w:t xml:space="preserve">https://2025budget.intersectmbo.org/ballots/680d1b63565577986442d123/proposals/680d1b63565577986442d23a</w:t>
        </w:r>
      </w:hyperlink>
      <w:r w:rsidDel="00000000" w:rsidR="00000000" w:rsidRPr="00000000">
        <w:rPr>
          <w:rtl w:val="0"/>
        </w:rPr>
        <w:t xml:space="preserve">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Approved Budget Info Action</w:t>
      </w:r>
      <w:r w:rsidDel="00000000" w:rsidR="00000000" w:rsidRPr="00000000">
        <w:rPr>
          <w:rtl w:val="0"/>
        </w:rPr>
        <w:t xml:space="preserve"> submitted by Intersect</w:t>
      </w:r>
    </w:p>
    <w:p w:rsidR="00000000" w:rsidDel="00000000" w:rsidP="00000000" w:rsidRDefault="00000000" w:rsidRPr="00000000" w14:paraId="0000009E">
      <w:pPr>
        <w:numPr>
          <w:ilvl w:val="0"/>
          <w:numId w:val="23"/>
        </w:numPr>
        <w:ind w:left="720" w:hanging="360"/>
        <w:rPr>
          <w:rFonts w:ascii="Courier New" w:cs="Courier New" w:eastAsia="Courier New" w:hAnsi="Courier New"/>
        </w:rPr>
      </w:pPr>
      <w:hyperlink r:id="rId12">
        <w:r w:rsidDel="00000000" w:rsidR="00000000" w:rsidRPr="00000000">
          <w:rPr>
            <w:rFonts w:ascii="Courier New" w:cs="Courier New" w:eastAsia="Courier New" w:hAnsi="Courier New"/>
            <w:color w:val="1155cc"/>
            <w:u w:val="single"/>
            <w:rtl w:val="0"/>
          </w:rPr>
          <w:t xml:space="preserve">https://gov.tools/governance_actions/e14de8d9dc4f4ddf3fe9250a8a926e20f10e99b86bd0610b77d7a054981591ee#0</w:t>
        </w:r>
      </w:hyperlink>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Details of all successful proposals (CSV)</w:t>
      </w:r>
    </w:p>
    <w:p w:rsidR="00000000" w:rsidDel="00000000" w:rsidP="00000000" w:rsidRDefault="00000000" w:rsidRPr="00000000" w14:paraId="000000A1">
      <w:pPr>
        <w:numPr>
          <w:ilvl w:val="0"/>
          <w:numId w:val="10"/>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A4">
      <w:pPr>
        <w:numPr>
          <w:ilvl w:val="0"/>
          <w:numId w:val="5"/>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A7">
      <w:pPr>
        <w:numPr>
          <w:ilvl w:val="0"/>
          <w:numId w:val="2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Budget Management Smart Contracts TxPipe Audit Report</w:t>
      </w:r>
    </w:p>
    <w:p w:rsidR="00000000" w:rsidDel="00000000" w:rsidP="00000000" w:rsidRDefault="00000000" w:rsidRPr="00000000" w14:paraId="000000AA">
      <w:pPr>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Budget Management Smart Contracts MLabs Audit Report</w:t>
      </w:r>
    </w:p>
    <w:p w:rsidR="00000000" w:rsidDel="00000000" w:rsidP="00000000" w:rsidRDefault="00000000" w:rsidRPr="00000000" w14:paraId="000000AD">
      <w:pPr>
        <w:numPr>
          <w:ilvl w:val="0"/>
          <w:numId w:val="21"/>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2025budget.intersectmbo.org/ballots/680d1b63565577986442d123/proposals/680d1b63565577986442d23a"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2" Type="http://schemas.openxmlformats.org/officeDocument/2006/relationships/hyperlink" Target="https://gov.tools/governance_actions/e14de8d9dc4f4ddf3fe9250a8a926e20f10e99b86bd0610b77d7a054981591ee#0"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