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UTxO RPC: Sustaining Cardano Blockchain Integration</w:t>
      </w:r>
    </w:p>
    <w:p w:rsidR="00000000" w:rsidDel="00000000" w:rsidP="00000000" w:rsidRDefault="00000000" w:rsidRPr="00000000" w14:paraId="00000002">
      <w:pPr>
        <w:spacing w:after="60" w:lineRule="auto"/>
        <w:rPr>
          <w:b w:val="1"/>
          <w:sz w:val="37"/>
          <w:szCs w:val="37"/>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220,914 ada</w:t>
      </w:r>
      <w:r w:rsidDel="00000000" w:rsidR="00000000" w:rsidRPr="00000000">
        <w:rPr>
          <w:rtl w:val="0"/>
        </w:rPr>
        <w:t xml:space="preserve"> for </w:t>
      </w:r>
      <w:r w:rsidDel="00000000" w:rsidR="00000000" w:rsidRPr="00000000">
        <w:rPr>
          <w:rtl w:val="0"/>
        </w:rPr>
        <w:t xml:space="preserve">UTxO RPC: Sustaining Cardano Blockchain Integration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UTxO RPC: Sustaining Cardano Blockchain Integration</w:t>
      </w:r>
      <w:r w:rsidDel="00000000" w:rsidR="00000000" w:rsidRPr="00000000">
        <w:rPr>
          <w:rtl w:val="0"/>
        </w:rPr>
        <w:t xml:space="preserve"> </w:t>
      </w:r>
      <w:r w:rsidDel="00000000" w:rsidR="00000000" w:rsidRPr="00000000">
        <w:rPr>
          <w:rtl w:val="0"/>
        </w:rPr>
        <w:t xml:space="preserve">which will provide the following services: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spacing w:after="160" w:line="259" w:lineRule="auto"/>
        <w:rPr>
          <w:i w:val="1"/>
        </w:rPr>
      </w:pPr>
      <w:r w:rsidDel="00000000" w:rsidR="00000000" w:rsidRPr="00000000">
        <w:rPr>
          <w:rtl w:val="0"/>
        </w:rPr>
        <w:t xml:space="preserve">Th</w:t>
      </w:r>
      <w:r w:rsidDel="00000000" w:rsidR="00000000" w:rsidRPr="00000000">
        <w:rPr>
          <w:highlight w:val="white"/>
          <w:rtl w:val="0"/>
        </w:rPr>
        <w:t xml:space="preserve">is request for support focuses on UTxO RPC (</w:t>
      </w:r>
      <w:hyperlink r:id="rId6">
        <w:r w:rsidDel="00000000" w:rsidR="00000000" w:rsidRPr="00000000">
          <w:rPr>
            <w:highlight w:val="white"/>
            <w:rtl w:val="0"/>
          </w:rPr>
          <w:t xml:space="preserve">https://utxorpc.org),</w:t>
        </w:r>
      </w:hyperlink>
      <w:r w:rsidDel="00000000" w:rsidR="00000000" w:rsidRPr="00000000">
        <w:rPr>
          <w:highlight w:val="white"/>
          <w:rtl w:val="0"/>
        </w:rPr>
        <w:t xml:space="preserve"> an interface specification designed to simplify interactions with UTxO-based blockchains. U5C defines standardized methods, data structures, and communication patterns. By providing a range of SDKs, and offering thorough documentation, U5C enhances reusability, interoperability, and performance in blockchain integrations. Currently in its early stages, UTxO RPC is already being adopted by key projects in the Cardano ecosystem, including Lace, Mesh, Amaru, and many others. As an open-source initiative, it welcomes contributions from the community, fostering a collaborative approach to improving blockchain infrastructure. To support its ongoing development, maintenance, and enhancements, we are requesting funding for the following roles: 0.5 FTE blockchain developer and 0.125 FTE tech lead.</w:t>
      </w: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A">
      <w:pPr>
        <w:spacing w:after="40" w:lineRule="auto"/>
        <w:ind w:left="0" w:firstLine="0"/>
        <w:rPr>
          <w:i w:val="1"/>
        </w:rPr>
      </w:pPr>
      <w:r w:rsidDel="00000000" w:rsidR="00000000" w:rsidRPr="00000000">
        <w:rPr>
          <w:rtl w:val="0"/>
        </w:rPr>
      </w:r>
    </w:p>
    <w:p w:rsidR="00000000" w:rsidDel="00000000" w:rsidP="00000000" w:rsidRDefault="00000000" w:rsidRPr="00000000" w14:paraId="0000000B">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0C">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proposal aims to solve the following problem: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color w:val="020817"/>
          <w:highlight w:val="white"/>
          <w:rtl w:val="0"/>
        </w:rPr>
        <w:t xml:space="preserve">UTxO RPC simplifies interactions with UTxO-based blockchains by providing a standardized interface for blockchain integrations. It enhances interoperability, reusability, and performance for developers, and has already seen adoption by major Cardano projects like Lace, Mesh, and Amaru. To fully unlock its potential for the Cardano community, UTxO RPC requires ongoing maintenance and enhancements. This proposal seeks funding to keep it active, up-to-date, and aligned with the evolving needs of the ecosystem.</w:t>
      </w: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b w:val="1"/>
          <w:i w:val="1"/>
        </w:rPr>
      </w:pPr>
      <w:r w:rsidDel="00000000" w:rsidR="00000000" w:rsidRPr="00000000">
        <w:rPr>
          <w:rtl w:val="0"/>
        </w:rPr>
      </w:r>
    </w:p>
    <w:p w:rsidR="00000000" w:rsidDel="00000000" w:rsidP="00000000" w:rsidRDefault="00000000" w:rsidRPr="00000000" w14:paraId="00000011">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2">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Securing funding for UTxO RPC ensures it remains actively maintained and continues to evolve with the Cardano ecosystem's needs. Ongoing updates, performance improvements, and new feature development will ensure the interface stays relevant and effective. This support will help simplify blockchain integrations, reduce complexity for developers, and improve overall performance, making it easier for new projects to adopt UTxO RPC. With continued maintenance, UTxO RPC can better serve the ecosystem and support long-term developer needs.</w:t>
      </w:r>
    </w:p>
    <w:p w:rsidR="00000000" w:rsidDel="00000000" w:rsidP="00000000" w:rsidRDefault="00000000" w:rsidRPr="00000000" w14:paraId="00000014">
      <w:pPr>
        <w:rPr>
          <w:i w:val="1"/>
          <w:color w:val="020817"/>
          <w:sz w:val="21"/>
          <w:szCs w:val="21"/>
          <w:highlight w:val="white"/>
        </w:rPr>
      </w:pPr>
      <w:r w:rsidDel="00000000" w:rsidR="00000000" w:rsidRPr="00000000">
        <w:rPr>
          <w:rtl w:val="0"/>
        </w:rPr>
      </w:r>
    </w:p>
    <w:p w:rsidR="00000000" w:rsidDel="00000000" w:rsidP="00000000" w:rsidRDefault="00000000" w:rsidRPr="00000000" w14:paraId="00000015">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TxPipe is an active member of the Cardano ecosystem</w:t>
      </w:r>
    </w:p>
    <w:p w:rsidR="00000000" w:rsidDel="00000000" w:rsidP="00000000" w:rsidRDefault="00000000" w:rsidRPr="00000000" w14:paraId="00000017">
      <w:pPr>
        <w:rPr>
          <w:color w:val="020817"/>
          <w:highlight w:val="white"/>
        </w:rPr>
      </w:pPr>
      <w:r w:rsidDel="00000000" w:rsidR="00000000" w:rsidRPr="00000000">
        <w:rPr>
          <w:rtl w:val="0"/>
        </w:rPr>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TxPipe has been developing open-source tools for the Cardano ecosystem for over 3 years and we're not going anywhere. Evidence of our commitment can be found by evaluating the continuous activity of our public code repositories.</w:t>
      </w:r>
    </w:p>
    <w:p w:rsidR="00000000" w:rsidDel="00000000" w:rsidP="00000000" w:rsidRDefault="00000000" w:rsidRPr="00000000" w14:paraId="00000019">
      <w:pPr>
        <w:rPr>
          <w:color w:val="020817"/>
          <w:highlight w:val="white"/>
        </w:rPr>
      </w:pPr>
      <w:r w:rsidDel="00000000" w:rsidR="00000000" w:rsidRPr="00000000">
        <w:rPr>
          <w:rtl w:val="0"/>
        </w:rPr>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Experience developing in the Cardano ecosystem</w:t>
      </w:r>
    </w:p>
    <w:p w:rsidR="00000000" w:rsidDel="00000000" w:rsidP="00000000" w:rsidRDefault="00000000" w:rsidRPr="00000000" w14:paraId="0000001B">
      <w:pPr>
        <w:rPr>
          <w:color w:val="020817"/>
          <w:highlight w:val="white"/>
        </w:rPr>
      </w:pPr>
      <w:r w:rsidDel="00000000" w:rsidR="00000000" w:rsidRPr="00000000">
        <w:rPr>
          <w:rtl w:val="0"/>
        </w:rPr>
      </w:r>
    </w:p>
    <w:p w:rsidR="00000000" w:rsidDel="00000000" w:rsidP="00000000" w:rsidRDefault="00000000" w:rsidRPr="00000000" w14:paraId="0000001C">
      <w:pPr>
        <w:rPr>
          <w:color w:val="020817"/>
          <w:highlight w:val="white"/>
        </w:rPr>
      </w:pPr>
      <w:r w:rsidDel="00000000" w:rsidR="00000000" w:rsidRPr="00000000">
        <w:rPr>
          <w:color w:val="020817"/>
          <w:highlight w:val="white"/>
          <w:rtl w:val="0"/>
        </w:rPr>
        <w:t xml:space="preserve">TxPipe has helped developed several dApps for the Cardano ecosystem. This experience allows us to evaluate the feasibility of the project and its potential benefit from a developer's perspective. We've also participated in development of chains using the released version of the IOG's Partnerchain SDK.</w:t>
      </w:r>
    </w:p>
    <w:p w:rsidR="00000000" w:rsidDel="00000000" w:rsidP="00000000" w:rsidRDefault="00000000" w:rsidRPr="00000000" w14:paraId="0000001D">
      <w:pPr>
        <w:rPr>
          <w:color w:val="020817"/>
          <w:highlight w:val="white"/>
        </w:rPr>
      </w:pPr>
      <w:r w:rsidDel="00000000" w:rsidR="00000000" w:rsidRPr="00000000">
        <w:rPr>
          <w:rtl w:val="0"/>
        </w:rPr>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Successful Catalyst proposals</w:t>
      </w:r>
    </w:p>
    <w:p w:rsidR="00000000" w:rsidDel="00000000" w:rsidP="00000000" w:rsidRDefault="00000000" w:rsidRPr="00000000" w14:paraId="0000001F">
      <w:pPr>
        <w:rPr>
          <w:color w:val="020817"/>
          <w:highlight w:val="white"/>
        </w:rPr>
      </w:pP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We have successfully completed several Catalyst proposals. This may serve as evidence that our team has the required capabilities to fulfill these type of projects.</w:t>
      </w:r>
    </w:p>
    <w:p w:rsidR="00000000" w:rsidDel="00000000" w:rsidP="00000000" w:rsidRDefault="00000000" w:rsidRPr="00000000" w14:paraId="00000021">
      <w:pPr>
        <w:rPr>
          <w:color w:val="020817"/>
          <w:highlight w:val="white"/>
        </w:rPr>
      </w:pPr>
      <w:r w:rsidDel="00000000" w:rsidR="00000000" w:rsidRPr="00000000">
        <w:rPr>
          <w:rtl w:val="0"/>
        </w:rPr>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Development process will be public and open-source</w:t>
      </w:r>
    </w:p>
    <w:p w:rsidR="00000000" w:rsidDel="00000000" w:rsidP="00000000" w:rsidRDefault="00000000" w:rsidRPr="00000000" w14:paraId="00000023">
      <w:pPr>
        <w:rPr>
          <w:color w:val="020817"/>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color w:val="020817"/>
          <w:highlight w:val="white"/>
          <w:rtl w:val="0"/>
        </w:rPr>
        <w:t xml:space="preserve">Both the output and the development process will be public and open-source. This approach provides an easy way for the Catalyst team and the Cardano community to evaluate the progress at each step of the process.</w:t>
      </w:r>
      <w:r w:rsidDel="00000000" w:rsidR="00000000" w:rsidRPr="00000000">
        <w:rPr>
          <w:rtl w:val="0"/>
        </w:rPr>
      </w:r>
    </w:p>
    <w:p w:rsidR="00000000" w:rsidDel="00000000" w:rsidP="00000000" w:rsidRDefault="00000000" w:rsidRPr="00000000" w14:paraId="00000025">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8">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B">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2C">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31">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7">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8">
        <w:r w:rsidDel="00000000" w:rsidR="00000000" w:rsidRPr="00000000">
          <w:rPr>
            <w:color w:val="1155cc"/>
            <w:u w:val="single"/>
            <w:rtl w:val="0"/>
          </w:rPr>
          <w:t xml:space="preserve">Blog 1</w:t>
        </w:r>
      </w:hyperlink>
      <w:r w:rsidDel="00000000" w:rsidR="00000000" w:rsidRPr="00000000">
        <w:rPr>
          <w:rtl w:val="0"/>
        </w:rPr>
        <w:t xml:space="preserve">, </w:t>
      </w:r>
      <w:hyperlink r:id="rId9">
        <w:r w:rsidDel="00000000" w:rsidR="00000000" w:rsidRPr="00000000">
          <w:rPr>
            <w:color w:val="1155cc"/>
            <w:u w:val="single"/>
            <w:rtl w:val="0"/>
          </w:rPr>
          <w:t xml:space="preserve">Blog 2</w:t>
        </w:r>
      </w:hyperlink>
      <w:r w:rsidDel="00000000" w:rsidR="00000000" w:rsidRPr="00000000">
        <w:rPr>
          <w:rtl w:val="0"/>
        </w:rPr>
        <w:t xml:space="preserve"> and </w:t>
      </w:r>
      <w:hyperlink r:id="rId10">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8">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9">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all details on Intersect’s configuration please see the </w:t>
      </w:r>
      <w:hyperlink r:id="rId11">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high level permissions are as follows: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TRSC Fund and PSSC Modify</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TRSC Disperse</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TRSC Pause and Resume</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TRSC Sweep</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TRSC Reorganize</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A">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B">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50">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TxPipe UTxO </w:t>
      </w:r>
      <w:r w:rsidDel="00000000" w:rsidR="00000000" w:rsidRPr="00000000">
        <w:rPr>
          <w:highlight w:val="white"/>
          <w:rtl w:val="0"/>
        </w:rPr>
        <w:t xml:space="preserve">RPC Github Repository</w:t>
      </w:r>
      <w:r w:rsidDel="00000000" w:rsidR="00000000" w:rsidRPr="00000000">
        <w:rPr>
          <w:rtl w:val="0"/>
        </w:rPr>
      </w:r>
    </w:p>
    <w:p w:rsidR="00000000" w:rsidDel="00000000" w:rsidP="00000000" w:rsidRDefault="00000000" w:rsidRPr="00000000" w14:paraId="00000052">
      <w:pPr>
        <w:numPr>
          <w:ilvl w:val="0"/>
          <w:numId w:val="10"/>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color w:val="020817"/>
        </w:rPr>
      </w:pPr>
      <w:hyperlink r:id="rId12">
        <w:r w:rsidDel="00000000" w:rsidR="00000000" w:rsidRPr="00000000">
          <w:rPr>
            <w:color w:val="ea580c"/>
            <w:u w:val="single"/>
            <w:rtl w:val="0"/>
          </w:rPr>
          <w:t xml:space="preserve">https://github.com/utxorpc</w:t>
        </w:r>
      </w:hyperlink>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Project Proposal In Ekklesia</w:t>
      </w:r>
    </w:p>
    <w:p w:rsidR="00000000" w:rsidDel="00000000" w:rsidP="00000000" w:rsidRDefault="00000000" w:rsidRPr="00000000" w14:paraId="00000055">
      <w:pPr>
        <w:numPr>
          <w:ilvl w:val="0"/>
          <w:numId w:val="5"/>
        </w:numPr>
        <w:ind w:left="720" w:hanging="360"/>
      </w:pPr>
      <w:hyperlink r:id="rId13">
        <w:r w:rsidDel="00000000" w:rsidR="00000000" w:rsidRPr="00000000">
          <w:rPr>
            <w:color w:val="1155cc"/>
            <w:u w:val="single"/>
            <w:rtl w:val="0"/>
          </w:rPr>
          <w:t xml:space="preserve">https://2025budget.intersectmbo.org/ballots/680d1b63565577986442d123/proposals/680d1b64565577986442d298</w:t>
        </w:r>
      </w:hyperlink>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58">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Details of all successful proposals (CSV)</w:t>
      </w:r>
    </w:p>
    <w:p w:rsidR="00000000" w:rsidDel="00000000" w:rsidP="00000000" w:rsidRDefault="00000000" w:rsidRPr="00000000" w14:paraId="0000005B">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E">
      <w:pPr>
        <w:numPr>
          <w:ilvl w:val="0"/>
          <w:numId w:val="9"/>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61">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Budget Management Smart Contracts TxPipe Audit Report</w:t>
      </w:r>
    </w:p>
    <w:p w:rsidR="00000000" w:rsidDel="00000000" w:rsidP="00000000" w:rsidRDefault="00000000" w:rsidRPr="00000000" w14:paraId="00000064">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Budget Management Smart Contracts MLabs Audit Report</w:t>
      </w:r>
    </w:p>
    <w:p w:rsidR="00000000" w:rsidDel="00000000" w:rsidP="00000000" w:rsidRDefault="00000000" w:rsidRPr="00000000" w14:paraId="00000067">
      <w:pPr>
        <w:numPr>
          <w:ilvl w:val="0"/>
          <w:numId w:val="3"/>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69">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Intersect</w:t>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intersectmbo.org/cardano-facilitation-services/cardano-budget/intersect-administration-services/smart-contracts-as-part-of-our-administration" TargetMode="External"/><Relationship Id="rId10" Type="http://schemas.openxmlformats.org/officeDocument/2006/relationships/hyperlink" Target="https://www.intersectmbo.org/news/smart-contract-mainnet-demo-day-three-update" TargetMode="External"/><Relationship Id="rId13" Type="http://schemas.openxmlformats.org/officeDocument/2006/relationships/hyperlink" Target="https://2025budget.intersectmbo.org/ballots/680d1b63565577986442d123/proposals/680d1b64565577986442d298" TargetMode="External"/><Relationship Id="rId12" Type="http://schemas.openxmlformats.org/officeDocument/2006/relationships/hyperlink" Target="https://github.com/utxorp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wo-update"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https://github.com/SundaeSwap-finance/treasury-contracts/tree/main/offchain/tests" TargetMode="External"/><Relationship Id="rId8" Type="http://schemas.openxmlformats.org/officeDocument/2006/relationships/hyperlink" Target="https://www.intersectmbo.org/news/smart-contract-mainnet-demo-a-step-toward-on-chain-treasury-withdraw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