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 OSC Budget Proposal - Paid Open Source Model for Sustainable Development</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w:t>
      </w:r>
      <w:r w:rsidDel="00000000" w:rsidR="00000000" w:rsidRPr="00000000">
        <w:rPr>
          <w:b w:val="1"/>
          <w:rtl w:val="0"/>
        </w:rPr>
        <w:t xml:space="preserve">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5,885,000 for </w:t>
      </w:r>
      <w:r w:rsidDel="00000000" w:rsidR="00000000" w:rsidRPr="00000000">
        <w:rPr>
          <w:rtl w:val="0"/>
        </w:rPr>
        <w:t xml:space="preserve">OSC Budget Proposal - Paid Open Source Model…</w:t>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OSC Budget Proposal - Paid Open Source Model for Sustainable Development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highlight w:val="white"/>
        </w:rPr>
      </w:pPr>
      <w:r w:rsidDel="00000000" w:rsidR="00000000" w:rsidRPr="00000000">
        <w:rPr>
          <w:rtl w:val="0"/>
        </w:rPr>
      </w:r>
    </w:p>
    <w:p w:rsidR="00000000" w:rsidDel="00000000" w:rsidP="00000000" w:rsidRDefault="00000000" w:rsidRPr="00000000" w14:paraId="00000007">
      <w:pPr>
        <w:ind w:left="0" w:firstLine="0"/>
        <w:rPr>
          <w:color w:val="020817"/>
          <w:highlight w:val="white"/>
        </w:rPr>
      </w:pPr>
      <w:r w:rsidDel="00000000" w:rsidR="00000000" w:rsidRPr="00000000">
        <w:rPr>
          <w:color w:val="020817"/>
          <w:highlight w:val="white"/>
          <w:rtl w:val="0"/>
        </w:rPr>
        <w:t xml:space="preserve">The Open Source Committee in conjunction with the Open Source Office (OSO) seeks to enact a Paid Open Source Model for Sustainable Development in Cardano. A budget proposal of ₳5,885,000, designed to ensure the long-term sustainability of open-source development within the Cardano ecosystem. This initiative will be managed by the Open Source Committee (OSC) pending approval by the DReps, and seeks to address the critical funding gaps that hinder the maintenance, security, and growth of essential open-source projects.</w:t>
      </w:r>
    </w:p>
    <w:p w:rsidR="00000000" w:rsidDel="00000000" w:rsidP="00000000" w:rsidRDefault="00000000" w:rsidRPr="00000000" w14:paraId="00000008">
      <w:pPr>
        <w:ind w:left="0" w:firstLine="0"/>
        <w:rPr>
          <w:color w:val="020817"/>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w:t>
      </w:r>
      <w:r w:rsidDel="00000000" w:rsidR="00000000" w:rsidRPr="00000000">
        <w:rPr>
          <w:rtl w:val="0"/>
        </w:rPr>
        <w:t xml:space="preserve">Intersect on behalf of the </w:t>
      </w:r>
      <w:r w:rsidDel="00000000" w:rsidR="00000000" w:rsidRPr="00000000">
        <w:rPr>
          <w:rtl w:val="0"/>
        </w:rPr>
        <w:t xml:space="preserve">Open Source Committee. The following sections; Abstract, Motivation, Rationale and </w:t>
      </w:r>
      <w:r w:rsidDel="00000000" w:rsidR="00000000" w:rsidRPr="00000000">
        <w:rPr>
          <w:rtl w:val="0"/>
        </w:rPr>
        <w:t xml:space="preserve">Vendor Profile</w:t>
      </w:r>
      <w:r w:rsidDel="00000000" w:rsidR="00000000" w:rsidRPr="00000000">
        <w:rPr>
          <w:rtl w:val="0"/>
        </w:rPr>
        <w:t xml:space="preserv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color w:val="020817"/>
          <w:highlight w:val="white"/>
        </w:rPr>
      </w:pPr>
      <w:r w:rsidDel="00000000" w:rsidR="00000000" w:rsidRPr="00000000">
        <w:rPr>
          <w:rtl w:val="0"/>
        </w:rPr>
        <w:t xml:space="preserve">This proposal aims to solve the following problem: </w:t>
      </w:r>
      <w:r w:rsidDel="00000000" w:rsidR="00000000" w:rsidRPr="00000000">
        <w:rPr>
          <w:color w:val="020817"/>
          <w:highlight w:val="white"/>
          <w:rtl w:val="0"/>
        </w:rPr>
        <w:t xml:space="preserve">Cardano’s open-source ecosystem is critical to the network’s long-term success, yet it lacks structured funding to support its growth. Unlike other blockchain ecosystems that provide clear financial backing for maintainers, contributors, and security efforts, Cardano’s open-source projects often rely on ad-hoc funding or volunteer efforts.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20817"/>
          <w:highlight w:val="white"/>
        </w:rPr>
      </w:pPr>
      <w:r w:rsidDel="00000000" w:rsidR="00000000" w:rsidRPr="00000000">
        <w:rPr>
          <w:color w:val="020817"/>
          <w:highlight w:val="white"/>
          <w:rtl w:val="0"/>
        </w:rPr>
        <w:t xml:space="preserve">This has led to several challenges: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 Unmaintained Core Infrastructure: Key open-source repositories, including those used by dApp developers and the broader ecosystem, lack dedicated funding for long-term maintenance.</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 Loss of Contributors: Without clear incentives, experienced developers leave for other ecosystems, making it harder to sustain projects and onboard new talent.</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 Security Risks: A lack of structured funding for bug bounties and incident response leaves Cardano exposed to vulnerabilities that could otherwise be proactively addressed.</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 Slower Ecosystem Growth: The absence of stable funding for new tools, developer education, and strategic project support makes it difficult to keep pace with industry advancements.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*Why This Matters*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If Cardano wants to remain a competitive, developer-friendly blockchain, it must invest in the sustainability of its open-source infrastructure. Without structured funding, key projects will stagnate, developer engagement will decline, and security risks will increase.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A well-supported open-source ecosystem ensures:</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 Reliable infrastructure for wallets, dApps, and developer tooling.</w:t>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 More engaged developers who have clear pathways to contribute and earn.</w:t>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 Stronger security with funding for bug bounties and incident response.</w:t>
      </w:r>
    </w:p>
    <w:p w:rsidR="00000000" w:rsidDel="00000000" w:rsidP="00000000" w:rsidRDefault="00000000" w:rsidRPr="00000000" w14:paraId="0000001E">
      <w:pPr>
        <w:rPr/>
      </w:pPr>
      <w:r w:rsidDel="00000000" w:rsidR="00000000" w:rsidRPr="00000000">
        <w:rPr>
          <w:color w:val="020817"/>
          <w:highlight w:val="white"/>
          <w:rtl w:val="0"/>
        </w:rPr>
        <w:t xml:space="preserve">- A faster-growing ecosystem where teams can build with confidence, knowing key tools and services are actively maintained.</w:t>
      </w:r>
      <w:r w:rsidDel="00000000" w:rsidR="00000000" w:rsidRPr="00000000">
        <w:rPr>
          <w:rtl w:val="0"/>
        </w:rPr>
      </w:r>
    </w:p>
    <w:p w:rsidR="00000000" w:rsidDel="00000000" w:rsidP="00000000" w:rsidRDefault="00000000" w:rsidRPr="00000000" w14:paraId="0000001F">
      <w:pPr>
        <w:pStyle w:val="Heading2"/>
        <w:spacing w:after="60" w:lineRule="auto"/>
        <w:rPr/>
      </w:pPr>
      <w:bookmarkStart w:colFirst="0" w:colLast="0" w:name="_vgvipt4uafje" w:id="3"/>
      <w:bookmarkEnd w:id="3"/>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0">
      <w:pPr>
        <w:pStyle w:val="Heading3"/>
        <w:rPr/>
      </w:pPr>
      <w:bookmarkStart w:colFirst="0" w:colLast="0" w:name="_vet30qqq01ac" w:id="4"/>
      <w:bookmarkEnd w:id="4"/>
      <w:r w:rsidDel="00000000" w:rsidR="00000000" w:rsidRPr="00000000">
        <w:rPr>
          <w:rtl w:val="0"/>
        </w:rPr>
        <w:t xml:space="preserve">Project Solution</w:t>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*The Solution: The Paid Open Source Model*</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This budget proposal introduces a Paid Open Source Model to ensure that essential open-source projects receive structured funding. It includes:</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 A Maintainer Retainer Program to fund developers maintaining critical repositories.</w:t>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Bug bounty and security initiatives to identify and fix vulnerabilities.</w:t>
      </w:r>
    </w:p>
    <w:p w:rsidR="00000000" w:rsidDel="00000000" w:rsidP="00000000" w:rsidRDefault="00000000" w:rsidRPr="00000000" w14:paraId="00000026">
      <w:pPr>
        <w:rPr>
          <w:color w:val="020817"/>
          <w:highlight w:val="white"/>
        </w:rPr>
      </w:pPr>
      <w:r w:rsidDel="00000000" w:rsidR="00000000" w:rsidRPr="00000000">
        <w:rPr>
          <w:color w:val="020817"/>
          <w:highlight w:val="white"/>
          <w:rtl w:val="0"/>
        </w:rPr>
        <w:t xml:space="preserve">- Developer advocacy and engagement programs to onboard and retain contributors.</w:t>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 An incubation framework to support promising open-source projects and help them scale.</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By implementing this model, Cardano will create a predictable, transparent, and sustainable funding mechanism that supports long-term open-source development, improves security, and accelerates ecosystem growth.</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*Key Objectives &amp; Strategic Impact*</w:t>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 Sustainable Open-Source Development: Funding for 50+ key projects via the Maintainer Retainer Program ensures continuous innovation and maintenance of mission-critical repositories.</w:t>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 Developer Onboarding &amp; Retention: Programs like Cardano Summer of Code, Code For Us, and Developer Advocates provide clear pathways for new and experienced contributors to engage in Cardano development.</w:t>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 Security &amp; Infrastructure Reliability: Investments in Bug Bounties, Incident Monitoring, and Tooling Sustainability safeguard the network and strengthen ecosystem resilience.</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 Commercialization &amp; Ecosystem Growth: The Accelerator Research Program and Expanded Project Support Services transition promising projects from incubation to sustainable businesses.</w:t>
      </w:r>
    </w:p>
    <w:p w:rsidR="00000000" w:rsidDel="00000000" w:rsidP="00000000" w:rsidRDefault="00000000" w:rsidRPr="00000000" w14:paraId="00000030">
      <w:pPr>
        <w:rPr>
          <w:color w:val="020817"/>
          <w:highlight w:val="white"/>
        </w:rPr>
      </w:pPr>
      <w:r w:rsidDel="00000000" w:rsidR="00000000" w:rsidRPr="00000000">
        <w:rPr>
          <w:color w:val="020817"/>
          <w:highlight w:val="white"/>
          <w:rtl w:val="0"/>
        </w:rPr>
        <w:t xml:space="preserve">- Community Engagement &amp; Governance: The OSC ensures transparent fund allocation, performance monitoring, and open participation for contributors across Cardano.</w:t>
      </w:r>
    </w:p>
    <w:p w:rsidR="00000000" w:rsidDel="00000000" w:rsidP="00000000" w:rsidRDefault="00000000" w:rsidRPr="00000000" w14:paraId="00000031">
      <w:pPr>
        <w:pStyle w:val="Heading3"/>
        <w:rPr/>
      </w:pPr>
      <w:bookmarkStart w:colFirst="0" w:colLast="0" w:name="_da6apvblcxua" w:id="5"/>
      <w:bookmarkEnd w:id="5"/>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Intersect is a non-profit member-based organization incorporated in Wyoming, USA. The team at Intersect represents a broad mix of experience and domain expertise, spanning open source, governance, infrastructure, fintech, and decentralized systems. Many of our team members are long-standing contributors to Cardano and are deeply embedded in the ecosystem - both professionally and as community participants.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proposal will be facilitated and coordinated by Intersect, with the Open Source Committee and our dedicated Open Source Program Office supporting the execution.</w:t>
      </w:r>
      <w:r w:rsidDel="00000000" w:rsidR="00000000" w:rsidRPr="00000000">
        <w:rPr>
          <w:rtl w:val="0"/>
        </w:rPr>
      </w:r>
    </w:p>
    <w:p w:rsidR="00000000" w:rsidDel="00000000" w:rsidP="00000000" w:rsidRDefault="00000000" w:rsidRPr="00000000" w14:paraId="00000035">
      <w:pPr>
        <w:pStyle w:val="Heading3"/>
        <w:rPr>
          <w:i w:val="1"/>
        </w:rPr>
      </w:pPr>
      <w:bookmarkStart w:colFirst="0" w:colLast="0" w:name="_w9mke2mxzvvg" w:id="6"/>
      <w:bookmarkEnd w:id="6"/>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8">
      <w:pPr>
        <w:pStyle w:val="Heading3"/>
        <w:rPr/>
      </w:pPr>
      <w:bookmarkStart w:colFirst="0" w:colLast="0" w:name="_hfx5lhl0aw4" w:id="7"/>
      <w:bookmarkEnd w:id="7"/>
      <w:r w:rsidDel="00000000" w:rsidR="00000000" w:rsidRPr="00000000">
        <w:rPr>
          <w:rtl w:val="0"/>
        </w:rPr>
        <w:t xml:space="preserve">Project Delivery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 written off-chain Legal Contract will be created between the Vendor and Cardano Development Holdings (CDH), as mandated by the Constitution. Intersect will administer the contract on behalf of its members and in alignment with governance actions approved by DReps. This includes coordinating project delivery schedules, reporting progress transparently to our members and the community, and escalating any disputes to the Governing Board and membership for resolution in accordance with established procedures. Members of the elected Open Source Committee will provide the necessary checks and assurance on milestone acceptance.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Project progress will also be monitored via Intersect’s delivery assurance function which will be communicated to the community.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3F">
      <w:pPr>
        <w:pStyle w:val="Heading3"/>
        <w:rPr/>
      </w:pPr>
      <w:bookmarkStart w:colFirst="0" w:colLast="0" w:name="_bp7srsn5c7z" w:id="8"/>
      <w:bookmarkEnd w:id="8"/>
      <w:r w:rsidDel="00000000" w:rsidR="00000000" w:rsidRPr="00000000">
        <w:rPr>
          <w:rtl w:val="0"/>
        </w:rPr>
        <w:t xml:space="preserve">Budget Management Tooling</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6">
      <w:pPr>
        <w:pStyle w:val="Heading4"/>
        <w:jc w:val="both"/>
        <w:rPr/>
      </w:pPr>
      <w:bookmarkStart w:colFirst="0" w:colLast="0" w:name="_v7r1nqawngh3" w:id="9"/>
      <w:bookmarkEnd w:id="9"/>
      <w:r w:rsidDel="00000000" w:rsidR="00000000" w:rsidRPr="00000000">
        <w:rPr>
          <w:rtl w:val="0"/>
        </w:rPr>
        <w:t xml:space="preserve">Specifics</w:t>
      </w:r>
    </w:p>
    <w:p w:rsidR="00000000" w:rsidDel="00000000" w:rsidP="00000000" w:rsidRDefault="00000000" w:rsidRPr="00000000" w14:paraId="00000047">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high level permissions are as follows:</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TRSC Fund and PSSC Modify</w:t>
      </w:r>
    </w:p>
    <w:p w:rsidR="00000000" w:rsidDel="00000000" w:rsidP="00000000" w:rsidRDefault="00000000" w:rsidRPr="00000000" w14:paraId="0000004F">
      <w:pPr>
        <w:numPr>
          <w:ilvl w:val="1"/>
          <w:numId w:val="9"/>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TRSC Disperse</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TRSC Pause and Resume</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TRSC Sweep</w:t>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TRSC Reorganize</w:t>
      </w:r>
    </w:p>
    <w:p w:rsidR="00000000" w:rsidDel="00000000" w:rsidP="00000000" w:rsidRDefault="00000000" w:rsidRPr="00000000" w14:paraId="00000057">
      <w:pPr>
        <w:numPr>
          <w:ilvl w:val="1"/>
          <w:numId w:val="9"/>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8">
      <w:pPr>
        <w:pStyle w:val="Heading4"/>
        <w:jc w:val="both"/>
        <w:rPr/>
      </w:pPr>
      <w:bookmarkStart w:colFirst="0" w:colLast="0" w:name="_srxp6ymsc24f" w:id="10"/>
      <w:bookmarkEnd w:id="10"/>
      <w:r w:rsidDel="00000000" w:rsidR="00000000" w:rsidRPr="00000000">
        <w:rPr>
          <w:rtl w:val="0"/>
        </w:rPr>
        <w:t xml:space="preserve">Processes</w:t>
      </w:r>
    </w:p>
    <w:p w:rsidR="00000000" w:rsidDel="00000000" w:rsidP="00000000" w:rsidRDefault="00000000" w:rsidRPr="00000000" w14:paraId="00000059">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p>
    <w:p w:rsidR="00000000" w:rsidDel="00000000" w:rsidP="00000000" w:rsidRDefault="00000000" w:rsidRPr="00000000" w14:paraId="00000060">
      <w:pPr>
        <w:pStyle w:val="Heading2"/>
        <w:spacing w:after="60" w:lineRule="auto"/>
        <w:rPr/>
      </w:pPr>
      <w:bookmarkStart w:colFirst="0" w:colLast="0" w:name="_v4flnz6wcn4i" w:id="11"/>
      <w:bookmarkEnd w:id="11"/>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1">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Paid Open Source Model Whitepaper (PDF)</w:t>
      </w:r>
    </w:p>
    <w:p w:rsidR="00000000" w:rsidDel="00000000" w:rsidP="00000000" w:rsidRDefault="00000000" w:rsidRPr="00000000" w14:paraId="00000063">
      <w:pPr>
        <w:numPr>
          <w:ilvl w:val="0"/>
          <w:numId w:val="5"/>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bafybeifv465wm3qzlarvosjlmlbokjdfvweny77ohcvip37gzofxwboqtu</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Paid Open-Source Model Concept (Youtube)</w:t>
      </w:r>
    </w:p>
    <w:p w:rsidR="00000000" w:rsidDel="00000000" w:rsidP="00000000" w:rsidRDefault="00000000" w:rsidRPr="00000000" w14:paraId="00000066">
      <w:pPr>
        <w:numPr>
          <w:ilvl w:val="0"/>
          <w:numId w:val="5"/>
        </w:numPr>
        <w:ind w:left="720" w:hanging="360"/>
      </w:pPr>
      <w:hyperlink r:id="rId11">
        <w:r w:rsidDel="00000000" w:rsidR="00000000" w:rsidRPr="00000000">
          <w:rPr>
            <w:color w:val="1155cc"/>
            <w:u w:val="single"/>
            <w:rtl w:val="0"/>
          </w:rPr>
          <w:t xml:space="preserve">https://www.youtube.com/watch?v=j4PgqaPWNT4&amp;list=PLRiBopPuugERP0EzNVZNwK6fes4i5NRs4&amp;index=3</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Open Source Committee Knowledge Base</w:t>
      </w:r>
    </w:p>
    <w:p w:rsidR="00000000" w:rsidDel="00000000" w:rsidP="00000000" w:rsidRDefault="00000000" w:rsidRPr="00000000" w14:paraId="00000069">
      <w:pPr>
        <w:numPr>
          <w:ilvl w:val="0"/>
          <w:numId w:val="5"/>
        </w:numPr>
        <w:ind w:left="720" w:hanging="360"/>
      </w:pPr>
      <w:hyperlink r:id="rId12">
        <w:r w:rsidDel="00000000" w:rsidR="00000000" w:rsidRPr="00000000">
          <w:rPr>
            <w:color w:val="1155cc"/>
            <w:u w:val="single"/>
            <w:rtl w:val="0"/>
          </w:rPr>
          <w:t xml:space="preserve">https://committees.docs.intersectmbo.org/intersect-open-source-committee</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Project Proposal In Ekklesia</w:t>
      </w:r>
    </w:p>
    <w:p w:rsidR="00000000" w:rsidDel="00000000" w:rsidP="00000000" w:rsidRDefault="00000000" w:rsidRPr="00000000" w14:paraId="0000006C">
      <w:pPr>
        <w:numPr>
          <w:ilvl w:val="0"/>
          <w:numId w:val="5"/>
        </w:numPr>
        <w:ind w:left="720" w:hanging="360"/>
      </w:pPr>
      <w:hyperlink r:id="rId13">
        <w:r w:rsidDel="00000000" w:rsidR="00000000" w:rsidRPr="00000000">
          <w:rPr>
            <w:color w:val="1155cc"/>
            <w:u w:val="single"/>
            <w:rtl w:val="0"/>
          </w:rPr>
          <w:t xml:space="preserve">https://2025budget.intersectmbo.org/ballots/680d1b63565577986442d123/proposals/680d1b63565577986442d262</w:t>
        </w:r>
      </w:hyperlink>
      <w:r w:rsidDel="00000000" w:rsidR="00000000" w:rsidRPr="00000000">
        <w:rPr>
          <w:rtl w:val="0"/>
        </w:rPr>
        <w:t xml:space="preserve"> </w:t>
      </w:r>
    </w:p>
    <w:p w:rsidR="00000000" w:rsidDel="00000000" w:rsidP="00000000" w:rsidRDefault="00000000" w:rsidRPr="00000000" w14:paraId="0000006D">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F">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Details of all successful proposals (CSV)</w:t>
      </w:r>
    </w:p>
    <w:p w:rsidR="00000000" w:rsidDel="00000000" w:rsidP="00000000" w:rsidRDefault="00000000" w:rsidRPr="00000000" w14:paraId="00000072">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5">
      <w:pPr>
        <w:numPr>
          <w:ilvl w:val="0"/>
          <w:numId w:val="7"/>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8">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Budget Management Smart Contracts TxPipe Audit Report</w:t>
      </w:r>
    </w:p>
    <w:p w:rsidR="00000000" w:rsidDel="00000000" w:rsidP="00000000" w:rsidRDefault="00000000" w:rsidRPr="00000000" w14:paraId="0000007B">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Budget Management Smart Contracts MLabs Audit Report</w:t>
      </w:r>
    </w:p>
    <w:p w:rsidR="00000000" w:rsidDel="00000000" w:rsidP="00000000" w:rsidRDefault="00000000" w:rsidRPr="00000000" w14:paraId="0000007E">
      <w:pPr>
        <w:numPr>
          <w:ilvl w:val="0"/>
          <w:numId w:val="4"/>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7F">
      <w:pPr>
        <w:pStyle w:val="Heading2"/>
        <w:spacing w:after="60" w:lineRule="auto"/>
        <w:rPr/>
      </w:pPr>
      <w:bookmarkStart w:colFirst="0" w:colLast="0" w:name="_yzcl4gh7x1w" w:id="12"/>
      <w:bookmarkEnd w:id="12"/>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j4PgqaPWNT4&amp;list=PLRiBopPuugERP0EzNVZNwK6fes4i5NRs4&amp;index=3"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62" TargetMode="External"/><Relationship Id="rId12" Type="http://schemas.openxmlformats.org/officeDocument/2006/relationships/hyperlink" Target="https://committees.docs.intersectmbo.org/intersect-open-source-committ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