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t>
      </w:r>
      <w:r w:rsidDel="00000000" w:rsidR="00000000" w:rsidRPr="00000000">
        <w:rPr>
          <w:rtl w:val="0"/>
        </w:rPr>
        <w:t xml:space="preserve">wal - </w:t>
      </w:r>
      <w:r w:rsidDel="00000000" w:rsidR="00000000" w:rsidRPr="00000000">
        <w:rPr>
          <w:color w:val="020817"/>
          <w:rtl w:val="0"/>
        </w:rPr>
        <w:t xml:space="preserve">Cexplorer.io – Developer-Focused Blockchain Explorer for Cardano</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highlight w:val="white"/>
          <w:rtl w:val="0"/>
        </w:rPr>
        <w:t xml:space="preserve">Withdraw </w:t>
      </w:r>
      <w:r w:rsidDel="00000000" w:rsidR="00000000" w:rsidRPr="00000000">
        <w:rPr>
          <w:highlight w:val="white"/>
          <w:rtl w:val="0"/>
        </w:rPr>
        <w:t xml:space="preserve">₳</w:t>
      </w:r>
      <w:r w:rsidDel="00000000" w:rsidR="00000000" w:rsidRPr="00000000">
        <w:rPr>
          <w:rtl w:val="0"/>
        </w:rPr>
        <w:t xml:space="preserve">266,667 for </w:t>
      </w:r>
      <w:r w:rsidDel="00000000" w:rsidR="00000000" w:rsidRPr="00000000">
        <w:rPr>
          <w:color w:val="020817"/>
          <w:rtl w:val="0"/>
        </w:rPr>
        <w:t xml:space="preserve">Cexplorer.io – Developer-Focused Blockchain Explorer…</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color w:val="020817"/>
          <w:rtl w:val="0"/>
        </w:rPr>
        <w:t xml:space="preserve">Cexplorer.io – Developer-Focused Blockchain Explorer for Cardano</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hd w:fill="ffffff" w:val="clear"/>
        <w:rPr>
          <w:color w:val="020817"/>
        </w:rPr>
      </w:pPr>
      <w:r w:rsidDel="00000000" w:rsidR="00000000" w:rsidRPr="00000000">
        <w:rPr>
          <w:color w:val="020817"/>
          <w:rtl w:val="0"/>
        </w:rPr>
        <w:t xml:space="preserve">Cexplorer.io is a high-performance, feature-rich blockchain explorer designed specifically for the Cardano ecosystem. It offers deep on-chain insights, real-time data access, and powerful tools for developers, stake pool operators, and users. With over 50,000 monthly users and millions of processed data requests, Cexplorer.io has become a trusted resource in the Cardano community.</w:t>
      </w:r>
    </w:p>
    <w:p w:rsidR="00000000" w:rsidDel="00000000" w:rsidP="00000000" w:rsidRDefault="00000000" w:rsidRPr="00000000" w14:paraId="00000008">
      <w:pPr>
        <w:shd w:fill="ffffff" w:val="clear"/>
        <w:rPr>
          <w:color w:val="020817"/>
        </w:rPr>
      </w:pPr>
      <w:r w:rsidDel="00000000" w:rsidR="00000000" w:rsidRPr="00000000">
        <w:rPr>
          <w:rtl w:val="0"/>
        </w:rPr>
      </w:r>
    </w:p>
    <w:p w:rsidR="00000000" w:rsidDel="00000000" w:rsidP="00000000" w:rsidRDefault="00000000" w:rsidRPr="00000000" w14:paraId="00000009">
      <w:pPr>
        <w:shd w:fill="ffffff" w:val="clear"/>
        <w:rPr>
          <w:color w:val="020817"/>
        </w:rPr>
      </w:pPr>
      <w:r w:rsidDel="00000000" w:rsidR="00000000" w:rsidRPr="00000000">
        <w:rPr>
          <w:color w:val="020817"/>
          <w:rtl w:val="0"/>
        </w:rPr>
        <w:t xml:space="preserve">This proposal seeks funding to ensure the long-term sustainability of the platform through infrastructure maintenance and continuous improvement. It includes two key areas:</w:t>
      </w:r>
    </w:p>
    <w:p w:rsidR="00000000" w:rsidDel="00000000" w:rsidP="00000000" w:rsidRDefault="00000000" w:rsidRPr="00000000" w14:paraId="0000000A">
      <w:pPr>
        <w:shd w:fill="ffffff" w:val="clear"/>
        <w:rPr>
          <w:color w:val="020817"/>
        </w:rPr>
      </w:pPr>
      <w:r w:rsidDel="00000000" w:rsidR="00000000" w:rsidRPr="00000000">
        <w:rPr>
          <w:rtl w:val="0"/>
        </w:rPr>
      </w:r>
    </w:p>
    <w:p w:rsidR="00000000" w:rsidDel="00000000" w:rsidP="00000000" w:rsidRDefault="00000000" w:rsidRPr="00000000" w14:paraId="0000000B">
      <w:pPr>
        <w:shd w:fill="ffffff" w:val="clear"/>
        <w:rPr>
          <w:color w:val="020817"/>
        </w:rPr>
      </w:pPr>
      <w:r w:rsidDel="00000000" w:rsidR="00000000" w:rsidRPr="00000000">
        <w:rPr>
          <w:color w:val="020817"/>
          <w:rtl w:val="0"/>
        </w:rPr>
        <w:t xml:space="preserve">BAU/Maintenance – Covering costs for server infrastructure, backend/frontend development, and bug fixes to ensure stability, uptime, and security.</w:t>
      </w:r>
    </w:p>
    <w:p w:rsidR="00000000" w:rsidDel="00000000" w:rsidP="00000000" w:rsidRDefault="00000000" w:rsidRPr="00000000" w14:paraId="0000000C">
      <w:pPr>
        <w:shd w:fill="ffffff" w:val="clear"/>
        <w:rPr>
          <w:color w:val="020817"/>
        </w:rPr>
      </w:pPr>
      <w:r w:rsidDel="00000000" w:rsidR="00000000" w:rsidRPr="00000000">
        <w:rPr>
          <w:rtl w:val="0"/>
        </w:rPr>
      </w:r>
    </w:p>
    <w:p w:rsidR="00000000" w:rsidDel="00000000" w:rsidP="00000000" w:rsidRDefault="00000000" w:rsidRPr="00000000" w14:paraId="0000000D">
      <w:pPr>
        <w:shd w:fill="ffffff" w:val="clear"/>
        <w:rPr>
          <w:color w:val="020817"/>
        </w:rPr>
      </w:pPr>
      <w:r w:rsidDel="00000000" w:rsidR="00000000" w:rsidRPr="00000000">
        <w:rPr>
          <w:color w:val="020817"/>
          <w:rtl w:val="0"/>
        </w:rPr>
        <w:t xml:space="preserve">Enhancements &amp; New Features – Expanding the team with additional developers and a UI designer to deliver a better user experience, improved performance, and new developer-oriented features.</w:t>
      </w:r>
    </w:p>
    <w:p w:rsidR="00000000" w:rsidDel="00000000" w:rsidP="00000000" w:rsidRDefault="00000000" w:rsidRPr="00000000" w14:paraId="0000000E">
      <w:pPr>
        <w:shd w:fill="ffffff" w:val="clear"/>
        <w:rPr>
          <w:color w:val="020817"/>
        </w:rPr>
      </w:pPr>
      <w:r w:rsidDel="00000000" w:rsidR="00000000" w:rsidRPr="00000000">
        <w:rPr>
          <w:rtl w:val="0"/>
        </w:rPr>
      </w:r>
    </w:p>
    <w:p w:rsidR="00000000" w:rsidDel="00000000" w:rsidP="00000000" w:rsidRDefault="00000000" w:rsidRPr="00000000" w14:paraId="0000000F">
      <w:pPr>
        <w:shd w:fill="ffffff" w:val="clear"/>
        <w:rPr/>
      </w:pPr>
      <w:r w:rsidDel="00000000" w:rsidR="00000000" w:rsidRPr="00000000">
        <w:rPr>
          <w:color w:val="020817"/>
          <w:rtl w:val="0"/>
        </w:rPr>
        <w:t xml:space="preserve">Our mission is to provide a scalable, developer-friendly explorer that empowers the Cardano community with transparent, accessible, and actionable data. By supporting this proposal, Intersect and the broader community invest in critical infrastructure that enhances transparency, encourages innovation, and reduces friction for anyone building on or interacting with Cardano.</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4">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6">
      <w:pPr>
        <w:ind w:left="0" w:firstLine="0"/>
        <w:rPr>
          <w:b w:val="1"/>
          <w:i w:val="1"/>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i w:val="1"/>
        </w:rPr>
      </w:pPr>
      <w:r w:rsidDel="00000000" w:rsidR="00000000" w:rsidRPr="00000000">
        <w:rPr>
          <w:color w:val="020817"/>
          <w:highlight w:val="white"/>
          <w:rtl w:val="0"/>
        </w:rPr>
        <w:t xml:space="preserve">The Cardano ecosystem lacks a powerful, developer-friendly explorer with advanced features, real-time insights, and flexible tools for building on-chain apps. Cexplorer.io aims to fill this gap by providing deep data access, improved UX, and ongoing enhancements to support the growing needs of users and developers.</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i w:val="1"/>
          <w:color w:val="020817"/>
          <w:sz w:val="21"/>
          <w:szCs w:val="21"/>
          <w:highlight w:val="white"/>
        </w:rPr>
      </w:pPr>
      <w:r w:rsidDel="00000000" w:rsidR="00000000" w:rsidRPr="00000000">
        <w:rPr>
          <w:color w:val="020817"/>
          <w:highlight w:val="white"/>
          <w:rtl w:val="0"/>
        </w:rPr>
        <w:t xml:space="preserve">Cexplorer.io serves over 50,000 monthly users and processes millions of data requests, providing real-time, in-depth insights into Cardano’s blockchain. It supports developers, SPOs, researchers, and everyday users with tools for exploring transactions, addresses, tokens, and stake pools. By improving transparency and accessibility, it reduces friction in dApp development, stake pool monitoring, and ecosystem analysis. The return on investment is a proven, high-traffic platform that continuously evolves to meet the growing demands of the Cardano community.</w:t>
      </w:r>
      <w:r w:rsidDel="00000000" w:rsidR="00000000" w:rsidRPr="00000000">
        <w:rPr>
          <w:rtl w:val="0"/>
        </w:rPr>
      </w:r>
    </w:p>
    <w:p w:rsidR="00000000" w:rsidDel="00000000" w:rsidP="00000000" w:rsidRDefault="00000000" w:rsidRPr="00000000" w14:paraId="0000001B">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Cexplorer.io (formerly Adapools) has been live since 2020, serving over 50,000 monthly users and handling millions of data requests each month.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The team has strong experience in backend systems, frontend development, API design, and DevOps, specifically tailored to Cardano’s architecture (e.g., DB-Sync, Cardano Node, CIPs).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Proven ability to maintain high availability, fast performance, and implement continuous improvements based on real user feedback.</w:t>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 The team is fully equipped to ensure long-term support, stability, and delivery of new features in a rapidly evolving ecosystem.</w:t>
      </w:r>
      <w:r w:rsidDel="00000000" w:rsidR="00000000" w:rsidRPr="00000000">
        <w:rPr>
          <w:rtl w:val="0"/>
        </w:rPr>
      </w:r>
    </w:p>
    <w:p w:rsidR="00000000" w:rsidDel="00000000" w:rsidP="00000000" w:rsidRDefault="00000000" w:rsidRPr="00000000" w14:paraId="00000021">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4">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7">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high level permissions are as follows: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TRSC Fund and PSSC Modify</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TRSC Disperse</w:t>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TRSC Pause and Resume</w:t>
      </w:r>
    </w:p>
    <w:p w:rsidR="00000000" w:rsidDel="00000000" w:rsidP="00000000" w:rsidRDefault="00000000" w:rsidRPr="00000000" w14:paraId="00000040">
      <w:pPr>
        <w:numPr>
          <w:ilvl w:val="1"/>
          <w:numId w:val="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TRSC Sweep</w:t>
      </w:r>
    </w:p>
    <w:p w:rsidR="00000000" w:rsidDel="00000000" w:rsidP="00000000" w:rsidRDefault="00000000" w:rsidRPr="00000000" w14:paraId="00000042">
      <w:pPr>
        <w:numPr>
          <w:ilvl w:val="1"/>
          <w:numId w:val="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TRSC Reorganize</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5">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6">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D">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Project Proposal In Ekklesia</w:t>
      </w:r>
    </w:p>
    <w:p w:rsidR="00000000" w:rsidDel="00000000" w:rsidP="00000000" w:rsidRDefault="00000000" w:rsidRPr="00000000" w14:paraId="0000004F">
      <w:pPr>
        <w:numPr>
          <w:ilvl w:val="0"/>
          <w:numId w:val="4"/>
        </w:numPr>
        <w:ind w:left="720" w:hanging="360"/>
      </w:pPr>
      <w:hyperlink r:id="rId11">
        <w:r w:rsidDel="00000000" w:rsidR="00000000" w:rsidRPr="00000000">
          <w:rPr>
            <w:color w:val="1155cc"/>
            <w:u w:val="single"/>
            <w:rtl w:val="0"/>
          </w:rPr>
          <w:t xml:space="preserve">https://2025budget.intersectmbo.org/ballots/680d1b63565577986442d123/proposals/680d1b64565577986442d27c</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2">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Details of all successful proposals (CSV)</w:t>
      </w:r>
    </w:p>
    <w:p w:rsidR="00000000" w:rsidDel="00000000" w:rsidP="00000000" w:rsidRDefault="00000000" w:rsidRPr="00000000" w14:paraId="0000005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8">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B">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Budget Management Smart Contracts TxPipe Audit Report</w:t>
      </w:r>
    </w:p>
    <w:p w:rsidR="00000000" w:rsidDel="00000000" w:rsidP="00000000" w:rsidRDefault="00000000" w:rsidRPr="00000000" w14:paraId="0000005E">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Budget Management Smart Contracts MLabs Audit Report</w:t>
      </w:r>
    </w:p>
    <w:p w:rsidR="00000000" w:rsidDel="00000000" w:rsidP="00000000" w:rsidRDefault="00000000" w:rsidRPr="00000000" w14:paraId="00000061">
      <w:pPr>
        <w:numPr>
          <w:ilvl w:val="0"/>
          <w:numId w:val="2"/>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2">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4565577986442d27c"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