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Catalyst 2025 Proposal by Input Output: Advancing Decentralised Community Innovation Funding &amp; Infrastructure</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highlight w:val="white"/>
          <w:rtl w:val="0"/>
        </w:rPr>
        <w:t xml:space="preserve">Withdraw ₳</w:t>
      </w:r>
      <w:r w:rsidDel="00000000" w:rsidR="00000000" w:rsidRPr="00000000">
        <w:rPr>
          <w:rtl w:val="0"/>
        </w:rPr>
        <w:t xml:space="preserve">69,459,000 for </w:t>
      </w:r>
      <w:r w:rsidDel="00000000" w:rsidR="00000000" w:rsidRPr="00000000">
        <w:rPr>
          <w:rtl w:val="0"/>
        </w:rPr>
        <w:t xml:space="preserve">Catalyst 2025 Proposal by Input Output: Advancing Dec…</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Catalyst 2025 Proposal by Input Output: Advancing Decentralised Community Innovation Funding &amp; Infrastructure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color w:val="020817"/>
          <w:sz w:val="21"/>
          <w:szCs w:val="21"/>
          <w:highlight w:val="white"/>
        </w:rPr>
      </w:pPr>
      <w:r w:rsidDel="00000000" w:rsidR="00000000" w:rsidRPr="00000000">
        <w:rPr>
          <w:rtl w:val="0"/>
        </w:rPr>
      </w:r>
    </w:p>
    <w:p w:rsidR="00000000" w:rsidDel="00000000" w:rsidP="00000000" w:rsidRDefault="00000000" w:rsidRPr="00000000" w14:paraId="00000007">
      <w:pPr>
        <w:ind w:left="0" w:firstLine="0"/>
        <w:rPr>
          <w:color w:val="020817"/>
          <w:highlight w:val="white"/>
        </w:rPr>
      </w:pPr>
      <w:r w:rsidDel="00000000" w:rsidR="00000000" w:rsidRPr="00000000">
        <w:rPr>
          <w:color w:val="020817"/>
          <w:highlight w:val="white"/>
          <w:rtl w:val="0"/>
        </w:rPr>
        <w:t xml:space="preserve">This proposal lays out a coordinated plan to provide reliable ecosystem funding and to future-proof Catalyst through a set of transformative upgrades that supports the Cardano 2025 Roadmap and community-validated priorities across three core workstreams:</w:t>
      </w:r>
    </w:p>
    <w:p w:rsidR="00000000" w:rsidDel="00000000" w:rsidP="00000000" w:rsidRDefault="00000000" w:rsidRPr="00000000" w14:paraId="00000008">
      <w:pPr>
        <w:ind w:left="0" w:firstLine="0"/>
        <w:rPr>
          <w:color w:val="020817"/>
          <w:highlight w:val="white"/>
        </w:rPr>
      </w:pPr>
      <w:r w:rsidDel="00000000" w:rsidR="00000000" w:rsidRPr="00000000">
        <w:rPr>
          <w:color w:val="020817"/>
          <w:highlight w:val="white"/>
          <w:rtl w:val="0"/>
        </w:rPr>
        <w:t xml:space="preserve">1. **Catalyst Interface Design and Development for Diversified Funding Streams**</w:t>
      </w:r>
    </w:p>
    <w:p w:rsidR="00000000" w:rsidDel="00000000" w:rsidP="00000000" w:rsidRDefault="00000000" w:rsidRPr="00000000" w14:paraId="00000009">
      <w:pPr>
        <w:ind w:left="0" w:firstLine="0"/>
        <w:rPr>
          <w:color w:val="020817"/>
          <w:highlight w:val="white"/>
        </w:rPr>
      </w:pPr>
      <w:r w:rsidDel="00000000" w:rsidR="00000000" w:rsidRPr="00000000">
        <w:rPr>
          <w:color w:val="020817"/>
          <w:highlight w:val="white"/>
          <w:rtl w:val="0"/>
        </w:rPr>
        <w:t xml:space="preserve">2. **Production-Grade Decentralised Catalyst Infrastructure via Hermes**</w:t>
      </w:r>
    </w:p>
    <w:p w:rsidR="00000000" w:rsidDel="00000000" w:rsidP="00000000" w:rsidRDefault="00000000" w:rsidRPr="00000000" w14:paraId="0000000A">
      <w:pPr>
        <w:ind w:left="0" w:firstLine="0"/>
        <w:rPr>
          <w:color w:val="020817"/>
          <w:highlight w:val="white"/>
        </w:rPr>
      </w:pPr>
      <w:r w:rsidDel="00000000" w:rsidR="00000000" w:rsidRPr="00000000">
        <w:rPr>
          <w:color w:val="020817"/>
          <w:highlight w:val="white"/>
          <w:rtl w:val="0"/>
        </w:rPr>
        <w:t xml:space="preserve">3. **F14-F16 Catalyst Funding Rounds, Retroactive Public Goods Funding (RetroPGF), Fund Operations**</w:t>
      </w:r>
    </w:p>
    <w:p w:rsidR="00000000" w:rsidDel="00000000" w:rsidP="00000000" w:rsidRDefault="00000000" w:rsidRPr="00000000" w14:paraId="0000000B">
      <w:pPr>
        <w:ind w:left="0" w:firstLine="0"/>
        <w:rPr>
          <w:color w:val="020817"/>
          <w:highlight w:val="white"/>
        </w:rPr>
      </w:pPr>
      <w:r w:rsidDel="00000000" w:rsidR="00000000" w:rsidRPr="00000000">
        <w:rPr>
          <w:rtl w:val="0"/>
        </w:rPr>
      </w:r>
    </w:p>
    <w:p w:rsidR="00000000" w:rsidDel="00000000" w:rsidP="00000000" w:rsidRDefault="00000000" w:rsidRPr="00000000" w14:paraId="0000000C">
      <w:pPr>
        <w:rPr>
          <w:color w:val="020817"/>
          <w:highlight w:val="white"/>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D">
      <w:pPr>
        <w:ind w:left="0" w:firstLine="0"/>
        <w:rPr>
          <w:color w:val="020817"/>
          <w:highlight w:val="white"/>
        </w:rPr>
      </w:pPr>
      <w:r w:rsidDel="00000000" w:rsidR="00000000" w:rsidRPr="00000000">
        <w:rPr>
          <w:rtl w:val="0"/>
        </w:rPr>
      </w:r>
    </w:p>
    <w:p w:rsidR="00000000" w:rsidDel="00000000" w:rsidP="00000000" w:rsidRDefault="00000000" w:rsidRPr="00000000" w14:paraId="0000000E">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F">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proposal aims to solve the following problem: </w:t>
      </w:r>
    </w:p>
    <w:p w:rsidR="00000000" w:rsidDel="00000000" w:rsidP="00000000" w:rsidRDefault="00000000" w:rsidRPr="00000000" w14:paraId="00000011">
      <w:pPr>
        <w:rPr>
          <w:color w:val="020817"/>
          <w:highlight w:val="white"/>
        </w:rPr>
      </w:pPr>
      <w:r w:rsidDel="00000000" w:rsidR="00000000" w:rsidRPr="00000000">
        <w:rPr>
          <w:rtl w:val="0"/>
        </w:rPr>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As participation increases and the demands of funding and governance become more complex, this proposal aims to address five key challenges necessary for Cardano’s continued growth, competitiveness, and decentralization:</w:t>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1. **Operational inefficiencies:** Catalyst currently depends on substantial manual oversight and coordination across its funding cycles. Without targeted investment in tooling and automation, operational overhead will remain high. Streamlining systems now lays the groundwork for a leaner, more cost-effective operation once this development roadmap concludes in 2026.</w:t>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2. **Low voter engagement:** While Catalyst sees higher voter engagement than most blockchain ecosystems, participation remains disproportionately low relative to the total ADA in circulation. This imbalance raises questions about how representative funding decisions truly are of the broader Cardano community.</w:t>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3. **Software limitations:** Fragmented tools and inconsistent user workflows create friction across the entire Catalyst journey - from proposal to review to vote to ongoing project-funding administration and transparent outcomes. This complexity deters newcomers and reduces the system’s inclusivity and scalability.</w:t>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4. **Voting power concentration:** A small number of high-stake wallets have the potential to dominate decision-making, leading to concerns around fairness and influence. Planned reforms like Quadratic Voting and DRep delegation are essential steps toward more equitable governance.</w:t>
      </w:r>
    </w:p>
    <w:p w:rsidR="00000000" w:rsidDel="00000000" w:rsidP="00000000" w:rsidRDefault="00000000" w:rsidRPr="00000000" w14:paraId="00000017">
      <w:pPr>
        <w:rPr/>
      </w:pPr>
      <w:r w:rsidDel="00000000" w:rsidR="00000000" w:rsidRPr="00000000">
        <w:rPr>
          <w:color w:val="020817"/>
          <w:highlight w:val="white"/>
          <w:rtl w:val="0"/>
        </w:rPr>
        <w:t xml:space="preserve">5. **Catalyst’s early-stage focus:** While Catalyst excels at incubating early-stage ideas and pilot programs, its role is sometimes mistaken for a long-term funding source. Clarifying Catalyst as a launchpad for experimentation and industry adoption, while encouraging mature projects not focused on partnerships to seek alternative treasury channels—will help align expectations and optimize resource allocation</w:t>
      </w: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i w:val="1"/>
        </w:rPr>
      </w:pPr>
      <w:r w:rsidDel="00000000" w:rsidR="00000000" w:rsidRPr="00000000">
        <w:rPr>
          <w:rtl w:val="0"/>
        </w:rPr>
      </w:r>
    </w:p>
    <w:p w:rsidR="00000000" w:rsidDel="00000000" w:rsidP="00000000" w:rsidRDefault="00000000" w:rsidRPr="00000000" w14:paraId="00000019">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A">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This proposal addresses the need for reliable ecosystem funding to support hundreds of Cardano builders and startups, alongside upgrading the core structural and operational limitations facing Catalyst, laying the foundation for its long-term sustainability and decentralization. Through these three interlinked workstreams: Catalyst Interface Development, Hermes Decentralized Infrastructure, and the execution of three Funding Rounds the return on investment for this proposal is measured in tangible, ecosystem-wide outcomes, including:</w:t>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1. **For the Ecosystem:** Significant reduction in operational costs, with potential savings of up to 50% in future Catalyst cycles from 2026 onward and broader and more meaningful community participation by strengthening Cardano’s decentralized innovation funding infrastructure with expanded governance functionality and funding flexibility, with support for multiple voting mechanics and the ability to participate using Cardano Native Tokens beyond ADA.</w:t>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2. **For Cardano Developers, Entrepreneurs, and Community Builders:** Continued assurance of community-led funding, giving hundreds of community builders the confidence to plan and scale their projects, supported by a trusted, experienced, and committed Catalyst operations team. ₳61 million to be deployed across three funding rounds, including the launch of a Retroactive Public Goods Funding (RetroPGF) initiative, designed to reward high-impact contributions that have already been delivered - even if not initially funded through a Catalyst vote. The results are increased support for early stage R&amp;D, open-source, regional, and community-led initiatives, guided by more equitable and representative voting mechanisms.</w:t>
      </w:r>
    </w:p>
    <w:p w:rsidR="00000000" w:rsidDel="00000000" w:rsidP="00000000" w:rsidRDefault="00000000" w:rsidRPr="00000000" w14:paraId="0000001E">
      <w:pPr>
        <w:rPr>
          <w:i w:val="1"/>
          <w:color w:val="020817"/>
          <w:sz w:val="21"/>
          <w:szCs w:val="21"/>
          <w:highlight w:val="white"/>
        </w:rPr>
      </w:pPr>
      <w:r w:rsidDel="00000000" w:rsidR="00000000" w:rsidRPr="00000000">
        <w:rPr>
          <w:color w:val="020817"/>
          <w:highlight w:val="white"/>
          <w:rtl w:val="0"/>
        </w:rPr>
        <w:t xml:space="preserve">3. **For End Users :** Seamless, scalable, and accessible Catalyst infrastructure delivered through unified, device-agnostic interfaces lowering barriers to participation, particularly in mobile-first regions, enabled by enhanced user interfaces and experience and production-grade decentralized infrastructure powered by Hermes, replacing legacy federated systems with peer-to-peer architecture. The sum of these parts aligns directly with Cardano’s broader goals of decentralization, transparency, and system resilience. Plus the introduction of optionality between delegated and direct voting that improves governance legitimacy, with greater transparency, auditability, and resilience across funding and decision-making processes due to investment in interfaces and infrastructure.</w:t>
      </w:r>
      <w:r w:rsidDel="00000000" w:rsidR="00000000" w:rsidRPr="00000000">
        <w:rPr>
          <w:rtl w:val="0"/>
        </w:rPr>
      </w:r>
    </w:p>
    <w:p w:rsidR="00000000" w:rsidDel="00000000" w:rsidP="00000000" w:rsidRDefault="00000000" w:rsidRPr="00000000" w14:paraId="0000001F">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The Catalyst Team brings over four years of experience delivering the Catalyst program. Since 2021, the Catalyst Team has processed over 3 million governance decisions, allocated ₳290 million to 2091 projects from 114 countries in 6 continents, and operated 13 successful funding rounds with a well-established governance, compliance, technology, transparency and accountability framework. Catalyst’s Fund Operations team has facilitated more than 12,000 individual payments to grantees, totaling ₳180,274,235 in addition to tens of thousands more payments for incentivised community roles demonstrating its commitment to operational and financial compliance integrity. The Catalyst technical team has pioneered decentralized voting solutions, including privacy-preserving voting, quadratic voting, and the development of a prototype Hermes engine in Cardano. The team remains committed to engaging the community to enhance the program’s capabilities and to furthering Cardano’s ecosystem growth and development.</w:t>
      </w:r>
    </w:p>
    <w:p w:rsidR="00000000" w:rsidDel="00000000" w:rsidP="00000000" w:rsidRDefault="00000000" w:rsidRPr="00000000" w14:paraId="00000021">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4">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7">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C">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3">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4">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high level permissions are as follows:</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TRSC Fund and PSSC Modify</w:t>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TRSC Disperse</w:t>
      </w:r>
    </w:p>
    <w:p w:rsidR="00000000" w:rsidDel="00000000" w:rsidP="00000000" w:rsidRDefault="00000000" w:rsidRPr="00000000" w14:paraId="0000003E">
      <w:pPr>
        <w:numPr>
          <w:ilvl w:val="1"/>
          <w:numId w:val="5"/>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TRSC Pause and Resume</w:t>
      </w:r>
    </w:p>
    <w:p w:rsidR="00000000" w:rsidDel="00000000" w:rsidP="00000000" w:rsidRDefault="00000000" w:rsidRPr="00000000" w14:paraId="00000040">
      <w:pPr>
        <w:numPr>
          <w:ilvl w:val="1"/>
          <w:numId w:val="5"/>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TRSC Sweep</w:t>
      </w:r>
    </w:p>
    <w:p w:rsidR="00000000" w:rsidDel="00000000" w:rsidP="00000000" w:rsidRDefault="00000000" w:rsidRPr="00000000" w14:paraId="00000042">
      <w:pPr>
        <w:numPr>
          <w:ilvl w:val="1"/>
          <w:numId w:val="5"/>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TRSC Reorganize</w:t>
      </w:r>
    </w:p>
    <w:p w:rsidR="00000000" w:rsidDel="00000000" w:rsidP="00000000" w:rsidRDefault="00000000" w:rsidRPr="00000000" w14:paraId="00000044">
      <w:pPr>
        <w:numPr>
          <w:ilvl w:val="1"/>
          <w:numId w:val="5"/>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5">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6">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4D">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w:t>
      </w:r>
      <w:r w:rsidDel="00000000" w:rsidR="00000000" w:rsidRPr="00000000">
        <w:rPr>
          <w:rtl w:val="0"/>
        </w:rPr>
        <w:t xml:space="preserve">nput Output Catalyst Innovation 2025 Budget Proposal v1 (PDF)</w:t>
      </w:r>
    </w:p>
    <w:p w:rsidR="00000000" w:rsidDel="00000000" w:rsidP="00000000" w:rsidRDefault="00000000" w:rsidRPr="00000000" w14:paraId="00000050">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ipfs://bafybeifpic3ufrheqvhdoxjzafqn2viqfw5argebz4foi6ew7ecrhhtzty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Project Proposal In Ekklesia</w:t>
      </w:r>
    </w:p>
    <w:p w:rsidR="00000000" w:rsidDel="00000000" w:rsidP="00000000" w:rsidRDefault="00000000" w:rsidRPr="00000000" w14:paraId="00000053">
      <w:pPr>
        <w:numPr>
          <w:ilvl w:val="0"/>
          <w:numId w:val="3"/>
        </w:numPr>
        <w:ind w:left="720" w:hanging="360"/>
      </w:pPr>
      <w:hyperlink r:id="rId11">
        <w:r w:rsidDel="00000000" w:rsidR="00000000" w:rsidRPr="00000000">
          <w:rPr>
            <w:color w:val="1155cc"/>
            <w:u w:val="single"/>
            <w:rtl w:val="0"/>
          </w:rPr>
          <w:t xml:space="preserve">https://2025budget.intersectmbo.org/ballots/680d1b63565577986442d123/proposals/680d1b63565577986442d244</w:t>
        </w:r>
      </w:hyperlink>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6">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Details of all successful proposals (CSV)</w:t>
      </w:r>
    </w:p>
    <w:p w:rsidR="00000000" w:rsidDel="00000000" w:rsidP="00000000" w:rsidRDefault="00000000" w:rsidRPr="00000000" w14:paraId="00000059">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C">
      <w:pPr>
        <w:numPr>
          <w:ilvl w:val="0"/>
          <w:numId w:val="4"/>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F">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Budget Management Smart Contracts TxPipe Audit Report</w:t>
      </w:r>
    </w:p>
    <w:p w:rsidR="00000000" w:rsidDel="00000000" w:rsidP="00000000" w:rsidRDefault="00000000" w:rsidRPr="00000000" w14:paraId="00000062">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Budget Management Smart Contracts MLabs Audit Report</w:t>
      </w:r>
    </w:p>
    <w:p w:rsidR="00000000" w:rsidDel="00000000" w:rsidP="00000000" w:rsidRDefault="00000000" w:rsidRPr="00000000" w14:paraId="00000065">
      <w:pPr>
        <w:numPr>
          <w:ilvl w:val="0"/>
          <w:numId w:val="8"/>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66">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2025budget.intersectmbo.org/ballots/680d1b63565577986442d123/proposals/680d1b63565577986442d244"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