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8nzoprixb76p" w:id="0"/>
      <w:bookmarkEnd w:id="0"/>
      <w:r w:rsidDel="00000000" w:rsidR="00000000" w:rsidRPr="00000000">
        <w:rPr>
          <w:rtl w:val="0"/>
        </w:rPr>
        <w:t xml:space="preserve">Treasury Withdrawal - Intersect metadata - </w:t>
      </w:r>
      <w:r w:rsidDel="00000000" w:rsidR="00000000" w:rsidRPr="00000000">
        <w:rPr>
          <w:color w:val="020817"/>
          <w:rtl w:val="0"/>
        </w:rPr>
        <w:t xml:space="preserve">Cardano Product Committee: Community-driven 2030 Cardano Vision and 2026 roadmap insights collection via workshops and structured product research</w:t>
      </w:r>
      <w:r w:rsidDel="00000000" w:rsidR="00000000" w:rsidRPr="00000000">
        <w:rPr>
          <w:rtl w:val="0"/>
        </w:rPr>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b w:val="1"/>
        </w:rPr>
      </w:pPr>
      <w:r w:rsidDel="00000000" w:rsidR="00000000" w:rsidRPr="00000000">
        <w:rPr>
          <w:highlight w:val="white"/>
          <w:rtl w:val="0"/>
        </w:rPr>
        <w:t xml:space="preserve">Withdraw ₳</w:t>
      </w:r>
      <w:r w:rsidDel="00000000" w:rsidR="00000000" w:rsidRPr="00000000">
        <w:rPr>
          <w:rtl w:val="0"/>
        </w:rPr>
        <w:t xml:space="preserve">750,000</w:t>
      </w:r>
      <w:r w:rsidDel="00000000" w:rsidR="00000000" w:rsidRPr="00000000">
        <w:rPr>
          <w:rtl w:val="0"/>
        </w:rPr>
        <w:t xml:space="preserve"> for</w:t>
      </w:r>
      <w:r w:rsidDel="00000000" w:rsidR="00000000" w:rsidRPr="00000000">
        <w:rPr>
          <w:b w:val="1"/>
          <w:rtl w:val="0"/>
        </w:rPr>
        <w:t xml:space="preserve"> </w:t>
      </w:r>
      <w:r w:rsidDel="00000000" w:rsidR="00000000" w:rsidRPr="00000000">
        <w:rPr>
          <w:rtl w:val="0"/>
        </w:rPr>
        <w:t xml:space="preserve">Cardano Product Committee: Community-driven 2030 Carda…</w:t>
      </w:r>
      <w:r w:rsidDel="00000000" w:rsidR="00000000" w:rsidRPr="00000000">
        <w:rPr>
          <w:rtl w:val="0"/>
        </w:rPr>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Cardano Product Committee: Community-driven 2030 Cardano Vision and 2026 roadmap insights collection via workshops and structured product research </w:t>
      </w:r>
      <w:r w:rsidDel="00000000" w:rsidR="00000000" w:rsidRPr="00000000">
        <w:rPr>
          <w:rtl w:val="0"/>
        </w:rPr>
        <w:t xml:space="preserve">which will provide the following services: </w:t>
      </w:r>
    </w:p>
    <w:p w:rsidR="00000000" w:rsidDel="00000000" w:rsidP="00000000" w:rsidRDefault="00000000" w:rsidRPr="00000000" w14:paraId="00000006">
      <w:pPr>
        <w:ind w:left="0" w:firstLine="0"/>
        <w:rPr>
          <w:color w:val="020817"/>
          <w:highlight w:val="white"/>
        </w:rPr>
      </w:pPr>
      <w:r w:rsidDel="00000000" w:rsidR="00000000" w:rsidRPr="00000000">
        <w:rPr>
          <w:rtl w:val="0"/>
        </w:rPr>
      </w:r>
    </w:p>
    <w:p w:rsidR="00000000" w:rsidDel="00000000" w:rsidP="00000000" w:rsidRDefault="00000000" w:rsidRPr="00000000" w14:paraId="00000007">
      <w:pPr>
        <w:ind w:left="0" w:firstLine="0"/>
        <w:rPr/>
      </w:pPr>
      <w:r w:rsidDel="00000000" w:rsidR="00000000" w:rsidRPr="00000000">
        <w:rPr>
          <w:color w:val="020817"/>
          <w:highlight w:val="white"/>
          <w:rtl w:val="0"/>
        </w:rPr>
        <w:t xml:space="preserve">One of the key community goals in 2025 is to c</w:t>
      </w:r>
      <w:r w:rsidDel="00000000" w:rsidR="00000000" w:rsidRPr="00000000">
        <w:rPr>
          <w:color w:val="020817"/>
          <w:highlight w:val="white"/>
          <w:rtl w:val="0"/>
        </w:rPr>
        <w:t xml:space="preserve">reate a shared long-term vision, transitioning from the roadmap created by Cardano’s founders to a community-led dynamic vision and yearly roadmap</w:t>
      </w:r>
      <w:r w:rsidDel="00000000" w:rsidR="00000000" w:rsidRPr="00000000">
        <w:rPr>
          <w:rtl w:val="0"/>
        </w:rPr>
        <w:t xml:space="preserve">. </w:t>
      </w:r>
    </w:p>
    <w:p w:rsidR="00000000" w:rsidDel="00000000" w:rsidP="00000000" w:rsidRDefault="00000000" w:rsidRPr="00000000" w14:paraId="00000008">
      <w:pPr>
        <w:ind w:left="0" w:firstLine="0"/>
        <w:rPr>
          <w:color w:val="020817"/>
          <w:highlight w:val="white"/>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color w:val="020817"/>
          <w:highlight w:val="white"/>
          <w:rtl w:val="0"/>
        </w:rPr>
        <w:t xml:space="preserve">To create the first community driven 2030 Cardano vision, and a following 2026 roadmap, the Cardano Product Committee of Intersect, via consultation, has drafted a strategy (which is already operational) which includes both broad consultation via workshops (remote and in-person) and focused insights collection via focus group calls, with key ecosystem stakeholders (like SPOs) and businesses (both in Cardano and outside Cardano), and incentivized structured user and market research with an initial set of broad questions divided by the broad </w:t>
      </w:r>
      <w:r w:rsidDel="00000000" w:rsidR="00000000" w:rsidRPr="00000000">
        <w:rPr>
          <w:color w:val="020817"/>
          <w:highlight w:val="white"/>
          <w:rtl w:val="0"/>
        </w:rPr>
        <w:t xml:space="preserve">Cardano goals</w:t>
      </w:r>
      <w:r w:rsidDel="00000000" w:rsidR="00000000" w:rsidRPr="00000000">
        <w:rPr>
          <w:color w:val="020817"/>
          <w:highlight w:val="white"/>
          <w:rtl w:val="0"/>
        </w:rPr>
        <w:t xml:space="preserve">. </w:t>
      </w:r>
      <w:hyperlink r:id="rId6">
        <w:r w:rsidDel="00000000" w:rsidR="00000000" w:rsidRPr="00000000">
          <w:rPr>
            <w:color w:val="1155cc"/>
            <w:highlight w:val="white"/>
            <w:u w:val="single"/>
            <w:rtl w:val="0"/>
          </w:rPr>
          <w:t xml:space="preserve">https://productcommittee.docs.intersectmbo.org/committee-outcomes/2025-cardanos-roadmap/2025-proposed-cardano-goals</w:t>
        </w:r>
      </w:hyperlink>
      <w:r w:rsidDel="00000000" w:rsidR="00000000" w:rsidRPr="00000000">
        <w:rPr>
          <w:color w:val="020817"/>
          <w:highlight w:val="white"/>
          <w:rtl w:val="0"/>
        </w:rPr>
        <w:t xml:space="preserve"> </w:t>
      </w:r>
      <w:r w:rsidDel="00000000" w:rsidR="00000000" w:rsidRPr="00000000">
        <w:rPr>
          <w:rtl w:val="0"/>
        </w:rPr>
      </w:r>
    </w:p>
    <w:p w:rsidR="00000000" w:rsidDel="00000000" w:rsidP="00000000" w:rsidRDefault="00000000" w:rsidRPr="00000000" w14:paraId="0000000A">
      <w:pPr>
        <w:spacing w:after="40" w:lineRule="auto"/>
        <w:ind w:left="0" w:firstLine="0"/>
        <w:rPr>
          <w:i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p>
    <w:p w:rsidR="00000000" w:rsidDel="00000000" w:rsidP="00000000" w:rsidRDefault="00000000" w:rsidRPr="00000000" w14:paraId="0000000C">
      <w:pPr>
        <w:spacing w:after="40" w:lineRule="auto"/>
        <w:rPr/>
      </w:pPr>
      <w:r w:rsidDel="00000000" w:rsidR="00000000" w:rsidRPr="00000000">
        <w:rPr>
          <w:rtl w:val="0"/>
        </w:rPr>
      </w:r>
    </w:p>
    <w:p w:rsidR="00000000" w:rsidDel="00000000" w:rsidP="00000000" w:rsidRDefault="00000000" w:rsidRPr="00000000" w14:paraId="0000000D">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0E">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This proposal aims to solve the following problem: </w:t>
      </w:r>
    </w:p>
    <w:p w:rsidR="00000000" w:rsidDel="00000000" w:rsidP="00000000" w:rsidRDefault="00000000" w:rsidRPr="00000000" w14:paraId="00000010">
      <w:pPr>
        <w:rPr>
          <w:color w:val="020817"/>
          <w:highlight w:val="white"/>
        </w:rPr>
      </w:pPr>
      <w:r w:rsidDel="00000000" w:rsidR="00000000" w:rsidRPr="00000000">
        <w:rPr>
          <w:rtl w:val="0"/>
        </w:rPr>
      </w:r>
    </w:p>
    <w:p w:rsidR="00000000" w:rsidDel="00000000" w:rsidP="00000000" w:rsidRDefault="00000000" w:rsidRPr="00000000" w14:paraId="00000011">
      <w:pPr>
        <w:rPr>
          <w:color w:val="020817"/>
          <w:highlight w:val="white"/>
        </w:rPr>
      </w:pPr>
      <w:r w:rsidDel="00000000" w:rsidR="00000000" w:rsidRPr="00000000">
        <w:rPr>
          <w:color w:val="020817"/>
          <w:highlight w:val="white"/>
          <w:rtl w:val="0"/>
        </w:rPr>
        <w:t xml:space="preserve">The original Cardano roadmap, set by Cardano’s founders, ended with the age of Voltaire. Now it’s time to define an open, shared, and transparent process for the Cardano community to define a long-term vision and a roadmap.</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020817"/>
          <w:highlight w:val="white"/>
        </w:rPr>
      </w:pPr>
      <w:r w:rsidDel="00000000" w:rsidR="00000000" w:rsidRPr="00000000">
        <w:rPr>
          <w:color w:val="020817"/>
          <w:highlight w:val="white"/>
          <w:rtl w:val="0"/>
        </w:rPr>
        <w:t xml:space="preserve">Creating a long-term vision in a small group is not easy, and it gets more complex as more stakeholders participate. One of Cardano’s strengths is its community-shared mind, so the challenge is to define a reusable process to leverage Cardano’s shared mind to create a long-term vision for Cardano and make it operational.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020817"/>
          <w:highlight w:val="white"/>
        </w:rPr>
      </w:pPr>
      <w:r w:rsidDel="00000000" w:rsidR="00000000" w:rsidRPr="00000000">
        <w:rPr>
          <w:color w:val="020817"/>
          <w:highlight w:val="white"/>
          <w:rtl w:val="0"/>
        </w:rPr>
        <w:t xml:space="preserve">Furthermore, as Cardano advances toward a maturing ecosystem, its future hinges on informed decision-making. However, the ecosystem currently lacks a dedicated, rigorous, and consolidated product research function to guide these decisions across themes such as user adoption, developer onboarding, governance participation, competitive positioning, and broader awareness. This absence limits our ability to reliably measure barriers, understand emerging needs, and identify product-market fit opportunities.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color w:val="020817"/>
          <w:highlight w:val="white"/>
          <w:rtl w:val="0"/>
        </w:rPr>
        <w:t xml:space="preserve">Cardano overall, and builders across the ecosystem, operate without a shared, research-backed understanding of what users actually need or how to prioritize strategic direction. Existing insights are scattered or outdated, and there is no ecosystem-wide standard for how assumptions are challenged or validated. This creates the risk of fragmentation as well as solutions that don’t address real user pain points or market gaps.</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r w:rsidDel="00000000" w:rsidR="00000000" w:rsidRPr="00000000">
        <w:rPr>
          <w:rtl w:val="0"/>
        </w:rPr>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The outcome of this proposal is a 2030 community-driven vision for Cardano, a 2026 proposed roadmap, and the first consolidated product research effort in Cardano. This will be achieved by providing clear paths for the broader Cardano community to participate in the 2030 vision creation process—both by contributing insights as key stakeholders and by enabling the collection of additional input through structured user and customer interviews, along with targeted product research initiatives.</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Key Outcomes and value this proposal will deliver:</w:t>
      </w:r>
    </w:p>
    <w:p w:rsidR="00000000" w:rsidDel="00000000" w:rsidP="00000000" w:rsidRDefault="00000000" w:rsidRPr="00000000" w14:paraId="0000001D">
      <w:pPr>
        <w:rPr>
          <w:color w:val="020817"/>
          <w:highlight w:val="white"/>
        </w:rPr>
      </w:pPr>
      <w:r w:rsidDel="00000000" w:rsidR="00000000" w:rsidRPr="00000000">
        <w:rPr>
          <w:rtl w:val="0"/>
        </w:rPr>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Broad community participation in the first community-driven Cardano vision creation process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Documented insights from the community shared brain</w:t>
      </w:r>
    </w:p>
    <w:p w:rsidR="00000000" w:rsidDel="00000000" w:rsidP="00000000" w:rsidRDefault="00000000" w:rsidRPr="00000000" w14:paraId="00000020">
      <w:pPr>
        <w:rPr>
          <w:color w:val="020817"/>
          <w:highlight w:val="white"/>
        </w:rPr>
      </w:pPr>
      <w:r w:rsidDel="00000000" w:rsidR="00000000" w:rsidRPr="00000000">
        <w:rPr>
          <w:color w:val="020817"/>
          <w:highlight w:val="white"/>
          <w:rtl w:val="0"/>
        </w:rPr>
        <w:t xml:space="preserve">- Documented insights from key groups (such as SPOs, builders, and businesses in and outside of Cardano and Blockchain)</w:t>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 Participation in creating and critiquing the first draft proposal for a 2030 Cardano vision</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 Creation of the first framework and consolidated data set of insights coming from product research guiding Cardano (and builders on Cardano) on what are the most prominent user needs and the key market opportunities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Opportunities to access funding to run product research initiatives</w:t>
      </w:r>
    </w:p>
    <w:p w:rsidR="00000000" w:rsidDel="00000000" w:rsidP="00000000" w:rsidRDefault="00000000" w:rsidRPr="00000000" w14:paraId="00000024">
      <w:pPr>
        <w:rPr>
          <w:i w:val="1"/>
          <w:color w:val="020817"/>
          <w:sz w:val="21"/>
          <w:szCs w:val="21"/>
          <w:highlight w:val="white"/>
        </w:rPr>
      </w:pPr>
      <w:r w:rsidDel="00000000" w:rsidR="00000000" w:rsidRPr="00000000">
        <w:rPr>
          <w:color w:val="020817"/>
          <w:highlight w:val="white"/>
          <w:rtl w:val="0"/>
        </w:rPr>
        <w:t xml:space="preserve">- Identify promising focus areas for Cardano to achieve product-market-fit, which can be coordinated with the Technical Steering Committee of Intersect to ultimately identify mission-critical Cardano feature sets</w:t>
      </w:r>
      <w:r w:rsidDel="00000000" w:rsidR="00000000" w:rsidRPr="00000000">
        <w:rPr>
          <w:rtl w:val="0"/>
        </w:rPr>
      </w:r>
    </w:p>
    <w:p w:rsidR="00000000" w:rsidDel="00000000" w:rsidP="00000000" w:rsidRDefault="00000000" w:rsidRPr="00000000" w14:paraId="00000025">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26">
      <w:pPr>
        <w:rPr>
          <w:color w:val="020817"/>
          <w:highlight w:val="white"/>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Intersect is a non-profit member-based organization incorporated in Wyoming, USA. The team at Intersect represents a broad mix of experience and domain expertise, spanning open source, governance, infrastructure, fintech, and decentralized systems. Many of our team members are long-standing contributors to Cardano and are deeply embedded in the ecosystem - both professionally and as community participants. </w:t>
      </w:r>
    </w:p>
    <w:p w:rsidR="00000000" w:rsidDel="00000000" w:rsidP="00000000" w:rsidRDefault="00000000" w:rsidRPr="00000000" w14:paraId="00000028">
      <w:pPr>
        <w:rPr>
          <w:color w:val="020817"/>
          <w:highlight w:val="white"/>
        </w:rPr>
      </w:pPr>
      <w:r w:rsidDel="00000000" w:rsidR="00000000" w:rsidRPr="00000000">
        <w:rPr>
          <w:rtl w:val="0"/>
        </w:rPr>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The Cardano Product Committee of Intersect is made of members’ elected product experts with knowledge in business, market research, and user research. The committee is also supported by academic researchers and it will consult Subject Matter Experts to define research initiatives and allocate funds in an open and transparent process to expert providers, as well as to properly document and share all the collected insights.</w:t>
      </w:r>
    </w:p>
    <w:p w:rsidR="00000000" w:rsidDel="00000000" w:rsidP="00000000" w:rsidRDefault="00000000" w:rsidRPr="00000000" w14:paraId="0000002A">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 written off-chain Legal Contract will be created between the Vendor and Cardano Development Holdings (CDH), as mandated by the Constitution. Intersect will administer the contract on behalf of its members and in alignment with governance actions approved by DReps. This includes coordinating project delivery schedules, reporting progress transparently to our members and the community, and escalating any disputes to the Governing Board and membership for resolution in accordance with established procedures.</w:t>
      </w:r>
    </w:p>
    <w:p w:rsidR="00000000" w:rsidDel="00000000" w:rsidP="00000000" w:rsidRDefault="00000000" w:rsidRPr="00000000" w14:paraId="0000002D">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2E">
      <w:pPr>
        <w:jc w:val="both"/>
        <w:rPr/>
      </w:pPr>
      <w:r w:rsidDel="00000000" w:rsidR="00000000" w:rsidRPr="00000000">
        <w:rPr>
          <w:rtl w:val="0"/>
        </w:rPr>
        <w:t xml:space="preserve">A written off-chain Legal Contract will be created between the Vendor and Cardano Development Holdings (CDH), as mandated by the Constitution. Intersect will administer the contract on behalf of its members and in alignment with governance actions approved by DReps. This includes coordinating project delivery schedules, reporting progress transparently to our members and the community, and escalating any disputes to the Governing Board and membership for resolution in accordance with established procedures. Members of the elected Product Committee will provide the necessary checks and assurance on milestone acceptance.</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Project progress will also be monitored via Intersect’s delivery assurance function which will be communicated to the community.</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33">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7">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8">
        <w:r w:rsidDel="00000000" w:rsidR="00000000" w:rsidRPr="00000000">
          <w:rPr>
            <w:color w:val="1155cc"/>
            <w:u w:val="single"/>
            <w:rtl w:val="0"/>
          </w:rPr>
          <w:t xml:space="preserve">Blog 1</w:t>
        </w:r>
      </w:hyperlink>
      <w:r w:rsidDel="00000000" w:rsidR="00000000" w:rsidRPr="00000000">
        <w:rPr>
          <w:rtl w:val="0"/>
        </w:rPr>
        <w:t xml:space="preserve">, </w:t>
      </w:r>
      <w:hyperlink r:id="rId9">
        <w:r w:rsidDel="00000000" w:rsidR="00000000" w:rsidRPr="00000000">
          <w:rPr>
            <w:color w:val="1155cc"/>
            <w:u w:val="single"/>
            <w:rtl w:val="0"/>
          </w:rPr>
          <w:t xml:space="preserve">Blog 2</w:t>
        </w:r>
      </w:hyperlink>
      <w:r w:rsidDel="00000000" w:rsidR="00000000" w:rsidRPr="00000000">
        <w:rPr>
          <w:rtl w:val="0"/>
        </w:rPr>
        <w:t xml:space="preserve"> and </w:t>
      </w:r>
      <w:hyperlink r:id="rId10">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3A">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3B">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For all details on Intersect’s configuration please see the </w:t>
      </w:r>
      <w:hyperlink r:id="rId11">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 base.</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high level permissions are as follows:</w:t>
      </w:r>
    </w:p>
    <w:p w:rsidR="00000000" w:rsidDel="00000000" w:rsidP="00000000" w:rsidRDefault="00000000" w:rsidRPr="00000000" w14:paraId="00000042">
      <w:pPr>
        <w:numPr>
          <w:ilvl w:val="0"/>
          <w:numId w:val="5"/>
        </w:numPr>
        <w:ind w:left="720" w:hanging="360"/>
      </w:pPr>
      <w:r w:rsidDel="00000000" w:rsidR="00000000" w:rsidRPr="00000000">
        <w:rPr>
          <w:rtl w:val="0"/>
        </w:rPr>
        <w:t xml:space="preserve">TRSC Fund and PSSC Modify</w:t>
      </w:r>
    </w:p>
    <w:p w:rsidR="00000000" w:rsidDel="00000000" w:rsidP="00000000" w:rsidRDefault="00000000" w:rsidRPr="00000000" w14:paraId="00000043">
      <w:pPr>
        <w:numPr>
          <w:ilvl w:val="1"/>
          <w:numId w:val="5"/>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44">
      <w:pPr>
        <w:numPr>
          <w:ilvl w:val="0"/>
          <w:numId w:val="5"/>
        </w:numPr>
        <w:ind w:left="720" w:hanging="360"/>
      </w:pPr>
      <w:r w:rsidDel="00000000" w:rsidR="00000000" w:rsidRPr="00000000">
        <w:rPr>
          <w:rtl w:val="0"/>
        </w:rPr>
        <w:t xml:space="preserve">TRSC Disperse</w:t>
      </w:r>
    </w:p>
    <w:p w:rsidR="00000000" w:rsidDel="00000000" w:rsidP="00000000" w:rsidRDefault="00000000" w:rsidRPr="00000000" w14:paraId="00000045">
      <w:pPr>
        <w:numPr>
          <w:ilvl w:val="1"/>
          <w:numId w:val="5"/>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46">
      <w:pPr>
        <w:numPr>
          <w:ilvl w:val="0"/>
          <w:numId w:val="5"/>
        </w:numPr>
        <w:ind w:left="720" w:hanging="360"/>
      </w:pPr>
      <w:r w:rsidDel="00000000" w:rsidR="00000000" w:rsidRPr="00000000">
        <w:rPr>
          <w:rtl w:val="0"/>
        </w:rPr>
        <w:t xml:space="preserve">TRSC Pause and Resume</w:t>
      </w:r>
    </w:p>
    <w:p w:rsidR="00000000" w:rsidDel="00000000" w:rsidP="00000000" w:rsidRDefault="00000000" w:rsidRPr="00000000" w14:paraId="00000047">
      <w:pPr>
        <w:numPr>
          <w:ilvl w:val="1"/>
          <w:numId w:val="5"/>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48">
      <w:pPr>
        <w:numPr>
          <w:ilvl w:val="0"/>
          <w:numId w:val="5"/>
        </w:numPr>
        <w:ind w:left="720" w:hanging="360"/>
      </w:pPr>
      <w:r w:rsidDel="00000000" w:rsidR="00000000" w:rsidRPr="00000000">
        <w:rPr>
          <w:rtl w:val="0"/>
        </w:rPr>
        <w:t xml:space="preserve">TRSC Sweep</w:t>
      </w:r>
    </w:p>
    <w:p w:rsidR="00000000" w:rsidDel="00000000" w:rsidP="00000000" w:rsidRDefault="00000000" w:rsidRPr="00000000" w14:paraId="00000049">
      <w:pPr>
        <w:numPr>
          <w:ilvl w:val="1"/>
          <w:numId w:val="5"/>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4A">
      <w:pPr>
        <w:numPr>
          <w:ilvl w:val="0"/>
          <w:numId w:val="5"/>
        </w:numPr>
        <w:ind w:left="720" w:hanging="360"/>
      </w:pPr>
      <w:r w:rsidDel="00000000" w:rsidR="00000000" w:rsidRPr="00000000">
        <w:rPr>
          <w:rtl w:val="0"/>
        </w:rPr>
        <w:t xml:space="preserve">TRSC Reorganize</w:t>
      </w:r>
    </w:p>
    <w:p w:rsidR="00000000" w:rsidDel="00000000" w:rsidP="00000000" w:rsidRDefault="00000000" w:rsidRPr="00000000" w14:paraId="0000004B">
      <w:pPr>
        <w:numPr>
          <w:ilvl w:val="1"/>
          <w:numId w:val="5"/>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4C">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4D">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p>
    <w:p w:rsidR="00000000" w:rsidDel="00000000" w:rsidP="00000000" w:rsidRDefault="00000000" w:rsidRPr="00000000" w14:paraId="00000054">
      <w:pPr>
        <w:pStyle w:val="Heading2"/>
        <w:spacing w:after="60" w:lineRule="auto"/>
        <w:rPr>
          <w:color w:val="ea580c"/>
          <w:sz w:val="21"/>
          <w:szCs w:val="21"/>
          <w:u w:val="single"/>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2025 Research Budget - Product Research Proposal</w:t>
      </w:r>
    </w:p>
    <w:p w:rsidR="00000000" w:rsidDel="00000000" w:rsidP="00000000" w:rsidRDefault="00000000" w:rsidRPr="00000000" w14:paraId="00000057">
      <w:pPr>
        <w:numPr>
          <w:ilvl w:val="0"/>
          <w:numId w:val="3"/>
        </w:numPr>
        <w:ind w:left="720" w:hanging="360"/>
      </w:pPr>
      <w:hyperlink r:id="rId12">
        <w:r w:rsidDel="00000000" w:rsidR="00000000" w:rsidRPr="00000000">
          <w:rPr>
            <w:color w:val="1155cc"/>
            <w:u w:val="single"/>
            <w:rtl w:val="0"/>
          </w:rPr>
          <w:t xml:space="preserve">https://productcommittee.docs.intersectmbo.org/committee-outcomes/2025-proposed-research-budget#product-research-sub-bucket</w:t>
        </w:r>
      </w:hyperlink>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2025 Research Budget - Vision Creation</w:t>
      </w:r>
    </w:p>
    <w:p w:rsidR="00000000" w:rsidDel="00000000" w:rsidP="00000000" w:rsidRDefault="00000000" w:rsidRPr="00000000" w14:paraId="0000005A">
      <w:pPr>
        <w:numPr>
          <w:ilvl w:val="0"/>
          <w:numId w:val="3"/>
        </w:numPr>
        <w:ind w:left="720" w:hanging="360"/>
      </w:pPr>
      <w:hyperlink r:id="rId13">
        <w:r w:rsidDel="00000000" w:rsidR="00000000" w:rsidRPr="00000000">
          <w:rPr>
            <w:color w:val="1155cc"/>
            <w:u w:val="single"/>
            <w:rtl w:val="0"/>
          </w:rPr>
          <w:t xml:space="preserve">https://productcommittee.docs.intersectmbo.org/committee-outcomes/2025-proposed-research-budget#vision-creation-sub-bucket</w:t>
        </w:r>
      </w:hyperlink>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Cardano Forum submission and comments</w:t>
      </w:r>
    </w:p>
    <w:p w:rsidR="00000000" w:rsidDel="00000000" w:rsidP="00000000" w:rsidRDefault="00000000" w:rsidRPr="00000000" w14:paraId="0000005D">
      <w:pPr>
        <w:numPr>
          <w:ilvl w:val="0"/>
          <w:numId w:val="3"/>
        </w:numPr>
        <w:ind w:left="720" w:hanging="360"/>
      </w:pPr>
      <w:hyperlink r:id="rId14">
        <w:r w:rsidDel="00000000" w:rsidR="00000000" w:rsidRPr="00000000">
          <w:rPr>
            <w:color w:val="1155cc"/>
            <w:u w:val="single"/>
            <w:rtl w:val="0"/>
          </w:rPr>
          <w:t xml:space="preserve">https://forum.cardano.org/t/cardano-research-budget-proposal/</w:t>
        </w:r>
      </w:hyperlink>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2025 Broad Goals</w:t>
      </w:r>
    </w:p>
    <w:p w:rsidR="00000000" w:rsidDel="00000000" w:rsidP="00000000" w:rsidRDefault="00000000" w:rsidRPr="00000000" w14:paraId="00000060">
      <w:pPr>
        <w:numPr>
          <w:ilvl w:val="0"/>
          <w:numId w:val="3"/>
        </w:numPr>
        <w:ind w:left="720" w:hanging="360"/>
      </w:pPr>
      <w:hyperlink r:id="rId15">
        <w:r w:rsidDel="00000000" w:rsidR="00000000" w:rsidRPr="00000000">
          <w:rPr>
            <w:color w:val="1155cc"/>
            <w:u w:val="single"/>
            <w:rtl w:val="0"/>
          </w:rPr>
          <w:t xml:space="preserve">https://productcommittee.docs.intersectmbo.org/committee-outcomes/2025-cardanos-roadmap/2025-proposed-cardano-goals</w:t>
        </w:r>
      </w:hyperlink>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2025 Product Roadmap</w:t>
      </w:r>
    </w:p>
    <w:p w:rsidR="00000000" w:rsidDel="00000000" w:rsidP="00000000" w:rsidRDefault="00000000" w:rsidRPr="00000000" w14:paraId="00000063">
      <w:pPr>
        <w:numPr>
          <w:ilvl w:val="0"/>
          <w:numId w:val="3"/>
        </w:numPr>
        <w:ind w:left="720" w:hanging="360"/>
      </w:pPr>
      <w:hyperlink r:id="rId16">
        <w:r w:rsidDel="00000000" w:rsidR="00000000" w:rsidRPr="00000000">
          <w:rPr>
            <w:color w:val="1155cc"/>
            <w:u w:val="single"/>
            <w:rtl w:val="0"/>
          </w:rPr>
          <w:t xml:space="preserve">https://productcommittee.docs.intersectmbo.org/committee-outcomes/2025-cardanos-roadmap/2025-proposed-cardano-roadmap</w:t>
        </w:r>
      </w:hyperlink>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2025 Product Roadmap info action via GovTool</w:t>
      </w:r>
    </w:p>
    <w:p w:rsidR="00000000" w:rsidDel="00000000" w:rsidP="00000000" w:rsidRDefault="00000000" w:rsidRPr="00000000" w14:paraId="00000066">
      <w:pPr>
        <w:numPr>
          <w:ilvl w:val="0"/>
          <w:numId w:val="3"/>
        </w:numPr>
        <w:ind w:left="720" w:hanging="360"/>
      </w:pPr>
      <w:hyperlink r:id="rId17">
        <w:r w:rsidDel="00000000" w:rsidR="00000000" w:rsidRPr="00000000">
          <w:rPr>
            <w:color w:val="1155cc"/>
            <w:u w:val="single"/>
            <w:rtl w:val="0"/>
          </w:rPr>
          <w:t xml:space="preserve">https://gov.tools/outcomes/governance_actions/56f39054758f1a3cedc1de9225d66bf270b62dfdbfbc5399f1d6d43aceffc636#0</w:t>
        </w:r>
      </w:hyperlink>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2030 Long-Term Cardano Vision process</w:t>
      </w:r>
    </w:p>
    <w:p w:rsidR="00000000" w:rsidDel="00000000" w:rsidP="00000000" w:rsidRDefault="00000000" w:rsidRPr="00000000" w14:paraId="00000069">
      <w:pPr>
        <w:numPr>
          <w:ilvl w:val="0"/>
          <w:numId w:val="3"/>
        </w:numPr>
        <w:ind w:left="720" w:hanging="360"/>
      </w:pPr>
      <w:hyperlink r:id="rId18">
        <w:r w:rsidDel="00000000" w:rsidR="00000000" w:rsidRPr="00000000">
          <w:rPr>
            <w:color w:val="1155cc"/>
            <w:u w:val="single"/>
            <w:rtl w:val="0"/>
          </w:rPr>
          <w:t xml:space="preserve">https://productcommittee.docs.intersectmbo.org/committee-outcomes/2030-long-term-cardano-vision</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Cardano Product Committee details</w:t>
      </w:r>
    </w:p>
    <w:p w:rsidR="00000000" w:rsidDel="00000000" w:rsidP="00000000" w:rsidRDefault="00000000" w:rsidRPr="00000000" w14:paraId="0000006C">
      <w:pPr>
        <w:numPr>
          <w:ilvl w:val="0"/>
          <w:numId w:val="3"/>
        </w:numPr>
        <w:ind w:left="720" w:hanging="360"/>
      </w:pPr>
      <w:hyperlink r:id="rId19">
        <w:r w:rsidDel="00000000" w:rsidR="00000000" w:rsidRPr="00000000">
          <w:rPr>
            <w:color w:val="1155cc"/>
            <w:u w:val="single"/>
            <w:rtl w:val="0"/>
          </w:rPr>
          <w:t xml:space="preserve">https://productcommittee.docs.intersectmbo.org/</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Project Proposal In Ekklesia</w:t>
      </w:r>
    </w:p>
    <w:p w:rsidR="00000000" w:rsidDel="00000000" w:rsidP="00000000" w:rsidRDefault="00000000" w:rsidRPr="00000000" w14:paraId="0000006F">
      <w:pPr>
        <w:numPr>
          <w:ilvl w:val="0"/>
          <w:numId w:val="3"/>
        </w:numPr>
        <w:ind w:left="720" w:hanging="360"/>
      </w:pPr>
      <w:hyperlink r:id="rId20">
        <w:r w:rsidDel="00000000" w:rsidR="00000000" w:rsidRPr="00000000">
          <w:rPr>
            <w:color w:val="1155cc"/>
            <w:u w:val="single"/>
            <w:rtl w:val="0"/>
          </w:rPr>
          <w:t xml:space="preserve">https://2025budget.intersectmbo.org/ballots/680d1b63565577986442d123/proposals/680d1b63565577986442d204</w:t>
        </w:r>
      </w:hyperlink>
      <w:r w:rsidDel="00000000" w:rsidR="00000000" w:rsidRPr="00000000">
        <w:rPr>
          <w:rtl w:val="0"/>
        </w:rPr>
        <w:t xml:space="preserve"> </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72">
      <w:pPr>
        <w:numPr>
          <w:ilvl w:val="0"/>
          <w:numId w:val="6"/>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Details of all successful proposals (CSV)</w:t>
      </w:r>
    </w:p>
    <w:p w:rsidR="00000000" w:rsidDel="00000000" w:rsidP="00000000" w:rsidRDefault="00000000" w:rsidRPr="00000000" w14:paraId="00000075">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8">
      <w:pPr>
        <w:numPr>
          <w:ilvl w:val="0"/>
          <w:numId w:val="8"/>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B">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Budget Management Smart Contracts TxPipe Audit Report</w:t>
      </w:r>
    </w:p>
    <w:p w:rsidR="00000000" w:rsidDel="00000000" w:rsidP="00000000" w:rsidRDefault="00000000" w:rsidRPr="00000000" w14:paraId="0000007E">
      <w:pPr>
        <w:numPr>
          <w:ilvl w:val="0"/>
          <w:numId w:val="7"/>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Budget Management Smart Contracts MLabs Audit Report</w:t>
      </w:r>
    </w:p>
    <w:p w:rsidR="00000000" w:rsidDel="00000000" w:rsidP="00000000" w:rsidRDefault="00000000" w:rsidRPr="00000000" w14:paraId="00000081">
      <w:pPr>
        <w:numPr>
          <w:ilvl w:val="0"/>
          <w:numId w:val="2"/>
        </w:numPr>
        <w:ind w:left="720" w:hanging="360"/>
      </w:pPr>
      <w:r w:rsidDel="00000000" w:rsidR="00000000" w:rsidRPr="00000000">
        <w:rPr>
          <w:rFonts w:ascii="Courier New" w:cs="Courier New" w:eastAsia="Courier New" w:hAnsi="Courier New"/>
          <w:rtl w:val="0"/>
        </w:rPr>
        <w:t xml:space="preserve">ipfs://</w:t>
      </w:r>
      <w:r w:rsidDel="00000000" w:rsidR="00000000" w:rsidRPr="00000000">
        <w:rPr>
          <w:rtl w:val="0"/>
        </w:rPr>
      </w:r>
    </w:p>
    <w:p w:rsidR="00000000" w:rsidDel="00000000" w:rsidP="00000000" w:rsidRDefault="00000000" w:rsidRPr="00000000" w14:paraId="00000082">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2025budget.intersectmbo.org/ballots/680d1b63565577986442d123/proposals/680d1b63565577986442d204" TargetMode="External"/><Relationship Id="rId11" Type="http://schemas.openxmlformats.org/officeDocument/2006/relationships/hyperlink" Target="https://docs.intersectmbo.org/cardano-facilitation-services/cardano-budget/intersect-administration-services/smart-contracts-as-part-of-our-administration" TargetMode="External"/><Relationship Id="rId10" Type="http://schemas.openxmlformats.org/officeDocument/2006/relationships/hyperlink" Target="https://www.intersectmbo.org/news/smart-contract-mainnet-demo-day-three-update" TargetMode="External"/><Relationship Id="rId13" Type="http://schemas.openxmlformats.org/officeDocument/2006/relationships/hyperlink" Target="https://productcommittee.docs.intersectmbo.org/committee-outcomes/2025-proposed-research-budget#vision-creation-sub-bucket" TargetMode="External"/><Relationship Id="rId12" Type="http://schemas.openxmlformats.org/officeDocument/2006/relationships/hyperlink" Target="https://productcommittee.docs.intersectmbo.org/committee-outcomes/2025-proposed-research-budget#product-research-sub-buck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wo-update" TargetMode="External"/><Relationship Id="rId15" Type="http://schemas.openxmlformats.org/officeDocument/2006/relationships/hyperlink" Target="https://productcommittee.docs.intersectmbo.org/committee-outcomes/2025-cardanos-roadmap/2025-proposed-cardano-goals" TargetMode="External"/><Relationship Id="rId14" Type="http://schemas.openxmlformats.org/officeDocument/2006/relationships/hyperlink" Target="https://forum.cardano.org/t/cardano-research-budget-proposal/" TargetMode="External"/><Relationship Id="rId17" Type="http://schemas.openxmlformats.org/officeDocument/2006/relationships/hyperlink" Target="https://gov.tools/outcomes/governance_actions/56f39054758f1a3cedc1de9225d66bf270b62dfdbfbc5399f1d6d43aceffc636#0" TargetMode="External"/><Relationship Id="rId16" Type="http://schemas.openxmlformats.org/officeDocument/2006/relationships/hyperlink" Target="https://productcommittee.docs.intersectmbo.org/committee-outcomes/2025-cardanos-roadmap/2025-proposed-cardano-roadmap" TargetMode="External"/><Relationship Id="rId5" Type="http://schemas.openxmlformats.org/officeDocument/2006/relationships/styles" Target="styles.xml"/><Relationship Id="rId19" Type="http://schemas.openxmlformats.org/officeDocument/2006/relationships/hyperlink" Target="https://productcommittee.docs.intersectmbo.org/" TargetMode="External"/><Relationship Id="rId6" Type="http://schemas.openxmlformats.org/officeDocument/2006/relationships/hyperlink" Target="https://productcommittee.docs.intersectmbo.org/committee-outcomes/2025-cardanos-roadmap/2025-proposed-cardano-goals" TargetMode="External"/><Relationship Id="rId18" Type="http://schemas.openxmlformats.org/officeDocument/2006/relationships/hyperlink" Target="https://productcommittee.docs.intersectmbo.org/committee-outcomes/2030-long-term-cardano-vision" TargetMode="External"/><Relationship Id="rId7" Type="http://schemas.openxmlformats.org/officeDocument/2006/relationships/hyperlink" Target="https://github.com/SundaeSwap-finance/treasury-contracts/tree/main/offchain/tests" TargetMode="External"/><Relationship Id="rId8" Type="http://schemas.openxmlformats.org/officeDocument/2006/relationships/hyperlink" Target="https://www.intersectmbo.org/news/smart-contract-mainnet-demo-a-step-toward-on-chain-treasury-withdrawa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