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template </w:t>
      </w:r>
      <w:r w:rsidDel="00000000" w:rsidR="00000000" w:rsidRPr="00000000">
        <w:rPr>
          <w:rtl w:val="0"/>
        </w:rPr>
        <w:t xml:space="preserve">- Unveiling the First Unified Global Events Marketing Strategy for Cardano</w:t>
      </w:r>
    </w:p>
    <w:p w:rsidR="00000000" w:rsidDel="00000000" w:rsidP="00000000" w:rsidRDefault="00000000" w:rsidRPr="00000000" w14:paraId="00000002">
      <w:pPr>
        <w:spacing w:after="60" w:lineRule="auto"/>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pPr>
      <w:r w:rsidDel="00000000" w:rsidR="00000000" w:rsidRPr="00000000">
        <w:rPr>
          <w:highlight w:val="white"/>
          <w:rtl w:val="0"/>
        </w:rPr>
        <w:t xml:space="preserve">Withdraw ₳</w:t>
      </w:r>
      <w:r w:rsidDel="00000000" w:rsidR="00000000" w:rsidRPr="00000000">
        <w:rPr>
          <w:rtl w:val="0"/>
        </w:rPr>
        <w:t xml:space="preserve">6,000,000</w:t>
      </w:r>
      <w:r w:rsidDel="00000000" w:rsidR="00000000" w:rsidRPr="00000000">
        <w:rPr>
          <w:rtl w:val="0"/>
        </w:rPr>
        <w:t xml:space="preserve"> for </w:t>
      </w:r>
      <w:r w:rsidDel="00000000" w:rsidR="00000000" w:rsidRPr="00000000">
        <w:rPr>
          <w:rtl w:val="0"/>
        </w:rPr>
        <w:t xml:space="preserve">Unveiling the First Unified Global Events Marketing S…</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Unveiling the First Unified Global Events Marketing Strategy for Cardano </w:t>
      </w:r>
      <w:r w:rsidDel="00000000" w:rsidR="00000000" w:rsidRPr="00000000">
        <w:rPr>
          <w:rtl w:val="0"/>
        </w:rPr>
        <w:t xml:space="preserve">which will provide the following services: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color w:val="020817"/>
          <w:highlight w:val="white"/>
        </w:rPr>
      </w:pPr>
      <w:r w:rsidDel="00000000" w:rsidR="00000000" w:rsidRPr="00000000">
        <w:rPr>
          <w:rtl w:val="0"/>
        </w:rPr>
        <w:t xml:space="preserve">R</w:t>
      </w:r>
      <w:r w:rsidDel="00000000" w:rsidR="00000000" w:rsidRPr="00000000">
        <w:rPr>
          <w:color w:val="020817"/>
          <w:highlight w:val="white"/>
          <w:rtl w:val="0"/>
        </w:rPr>
        <w:t xml:space="preserve">evitalize Cardano's global presence and foster ecosystem growth, we aim to host and participate in a dynamic series of events in 2025 and 2026.</w:t>
      </w:r>
    </w:p>
    <w:p w:rsidR="00000000" w:rsidDel="00000000" w:rsidP="00000000" w:rsidRDefault="00000000" w:rsidRPr="00000000" w14:paraId="00000009">
      <w:pPr>
        <w:ind w:left="0" w:firstLine="0"/>
        <w:rPr>
          <w:color w:val="020817"/>
          <w:highlight w:val="white"/>
        </w:rPr>
      </w:pPr>
      <w:r w:rsidDel="00000000" w:rsidR="00000000" w:rsidRPr="00000000">
        <w:rPr>
          <w:rtl w:val="0"/>
        </w:rPr>
      </w:r>
    </w:p>
    <w:p w:rsidR="00000000" w:rsidDel="00000000" w:rsidP="00000000" w:rsidRDefault="00000000" w:rsidRPr="00000000" w14:paraId="0000000A">
      <w:pPr>
        <w:ind w:left="0" w:firstLine="0"/>
        <w:rPr>
          <w:color w:val="020817"/>
          <w:highlight w:val="white"/>
        </w:rPr>
      </w:pPr>
      <w:r w:rsidDel="00000000" w:rsidR="00000000" w:rsidRPr="00000000">
        <w:rPr>
          <w:color w:val="020817"/>
          <w:highlight w:val="white"/>
          <w:rtl w:val="0"/>
        </w:rPr>
        <w:t xml:space="preserve">These events will target diverse audiences, including developers, enterprises, blockchain enthusiasts, and policymakers, to drive engagement, innovation, and adoption.</w:t>
      </w:r>
    </w:p>
    <w:p w:rsidR="00000000" w:rsidDel="00000000" w:rsidP="00000000" w:rsidRDefault="00000000" w:rsidRPr="00000000" w14:paraId="0000000B">
      <w:pPr>
        <w:spacing w:after="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0C">
      <w:pPr>
        <w:rPr>
          <w:rFonts w:ascii="Roboto" w:cs="Roboto" w:eastAsia="Roboto" w:hAnsi="Roboto"/>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D">
      <w:pPr>
        <w:spacing w:after="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0E">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0F">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proposal aims to solve the following problem: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The Cardano ecosystem currently faces challenges in establishing a consistent and impactful presence at global blockchain events. Catalyst-funded initiatives often operate under independent branding which rarely mentions ‘Cardano’ which dilutes the visibility of Cardano within the broader blockchain community. This fragmented approach makes it harder for Cardano to stand out amidst the competition.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Competitors like Solana, Aptos, and Sui have established significant brand recognition by strategically aligning global events with developer-focused initiatives.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Their series of hacker houses and hubs—typically held 3–4 times per year—have successfully fostered active developer communities and increased Total Value Locked (TVL) on their platforms. These events seamlessly blend ecosystems, attracting talent and partnerships across multiple chains while solidifying their reputation as innovative blockchain leaders.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Roboto" w:cs="Roboto" w:eastAsia="Roboto" w:hAnsi="Roboto"/>
          <w:b w:val="1"/>
          <w:i w:val="1"/>
        </w:rPr>
      </w:pPr>
      <w:r w:rsidDel="00000000" w:rsidR="00000000" w:rsidRPr="00000000">
        <w:rPr>
          <w:color w:val="020817"/>
          <w:highlight w:val="white"/>
          <w:rtl w:val="0"/>
        </w:rPr>
        <w:t xml:space="preserve">Without a similarly coordinated and impactful event strategy, Cardano risks being overshadowed in a competitive landscape. A fresh approach to event planning is essential to position Cardano alongside top players and attract developers, partners, and enthusiasts from across the blockchain ecosystem.</w:t>
      </w:r>
      <w:r w:rsidDel="00000000" w:rsidR="00000000" w:rsidRPr="00000000">
        <w:rPr>
          <w:rtl w:val="0"/>
        </w:rPr>
      </w:r>
    </w:p>
    <w:p w:rsidR="00000000" w:rsidDel="00000000" w:rsidP="00000000" w:rsidRDefault="00000000" w:rsidRPr="00000000" w14:paraId="00000019">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A">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Unveiling the First Unified Global Events Marketing Strategy for Cardano. The entities will deliver ‘Cardano’ branded sponsorships at global conferences in 2025 and 2026, managed and planned by the events management experts.</w:t>
      </w:r>
    </w:p>
    <w:p w:rsidR="00000000" w:rsidDel="00000000" w:rsidP="00000000" w:rsidRDefault="00000000" w:rsidRPr="00000000" w14:paraId="0000001C">
      <w:pPr>
        <w:rPr>
          <w:color w:val="020817"/>
          <w:highlight w:val="white"/>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Cardano as an L1 needs to be promoted as the brand at these events with no biased 3rd party business objectives hovering around it. They will run a 100% Cardano-focused events and marketing campaign globally at the most cost-efficient manner leveraging our wealth of event experience.</w:t>
      </w:r>
    </w:p>
    <w:p w:rsidR="00000000" w:rsidDel="00000000" w:rsidP="00000000" w:rsidRDefault="00000000" w:rsidRPr="00000000" w14:paraId="0000001E">
      <w:pPr>
        <w:rPr>
          <w:color w:val="020817"/>
          <w:highlight w:val="white"/>
        </w:rPr>
      </w:pPr>
      <w:r w:rsidDel="00000000" w:rsidR="00000000" w:rsidRPr="00000000">
        <w:rPr>
          <w:rtl w:val="0"/>
        </w:rPr>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List of Key Events: </w:t>
      </w:r>
      <w:hyperlink r:id="rId6">
        <w:r w:rsidDel="00000000" w:rsidR="00000000" w:rsidRPr="00000000">
          <w:rPr>
            <w:color w:val="1155cc"/>
            <w:highlight w:val="white"/>
            <w:u w:val="single"/>
            <w:rtl w:val="0"/>
          </w:rPr>
          <w:t xml:space="preserve">https://ucarecdn.com/601623d5-e9ef-45ec-9025-1e7cd40f824c/External2025EventsListCleanlist_14April.pdf</w:t>
        </w:r>
      </w:hyperlink>
      <w:r w:rsidDel="00000000" w:rsidR="00000000" w:rsidRPr="00000000">
        <w:rPr>
          <w:color w:val="020817"/>
          <w:highlight w:val="white"/>
          <w:rtl w:val="0"/>
        </w:rPr>
        <w:t xml:space="preserve"> </w:t>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Unveiling the First Unified Global Events Marketing Strategy for Cardano PDF:</w:t>
      </w:r>
    </w:p>
    <w:p w:rsidR="00000000" w:rsidDel="00000000" w:rsidP="00000000" w:rsidRDefault="00000000" w:rsidRPr="00000000" w14:paraId="00000022">
      <w:pPr>
        <w:rPr>
          <w:color w:val="020817"/>
          <w:highlight w:val="white"/>
        </w:rPr>
      </w:pPr>
      <w:hyperlink r:id="rId7">
        <w:r w:rsidDel="00000000" w:rsidR="00000000" w:rsidRPr="00000000">
          <w:rPr>
            <w:color w:val="1155cc"/>
            <w:highlight w:val="white"/>
            <w:u w:val="single"/>
            <w:rtl w:val="0"/>
          </w:rPr>
          <w:t xml:space="preserve">https://ucarecdn.com/0830cd4a-dec8-4595-8a27-2a680788e90d/Cardano2025EventProposalUpdatedMarch.pdf</w:t>
        </w:r>
      </w:hyperlink>
      <w:r w:rsidDel="00000000" w:rsidR="00000000" w:rsidRPr="00000000">
        <w:rPr>
          <w:color w:val="020817"/>
          <w:highlight w:val="white"/>
          <w:rtl w:val="0"/>
        </w:rPr>
        <w:t xml:space="preserve"> </w:t>
      </w:r>
    </w:p>
    <w:p w:rsidR="00000000" w:rsidDel="00000000" w:rsidP="00000000" w:rsidRDefault="00000000" w:rsidRPr="00000000" w14:paraId="00000023">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Cardano Foundation: An independent, Swiss-based non-profit organization tasked with advancing the public digital infrastructure of Cardano and working to anchor it as a utility for financial and social systems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Emurgo: EMURGO is a blockchain technology company and a founding entity of the Cardano blockchain that provides products and services to drive the adoption of Cardano's Web3 ecosystem. Established in Japan, EMURGO exists to facilitate commercial growth of the Cardano ecosystem and unlock the full potential of the ecosystem through partnerships, investments, education, and infrastructure development.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Rare Network: Rare Network is a premier event services, KOL (Key Opinion Leader), and marketing company dedicated to promoting businesses within the blockchain technology and Web3 space. As the parent group of RareEvo.io, Rare Network specializes in creating impactful events and innovative marketing strategies that drive visibility and growth for pioneering companies in the decentralized technology ecosystem</w:t>
      </w:r>
      <w:r w:rsidDel="00000000" w:rsidR="00000000" w:rsidRPr="00000000">
        <w:rPr>
          <w:rtl w:val="0"/>
        </w:rPr>
      </w:r>
    </w:p>
    <w:p w:rsidR="00000000" w:rsidDel="00000000" w:rsidP="00000000" w:rsidRDefault="00000000" w:rsidRPr="00000000" w14:paraId="00000029">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C">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F">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34">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8">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9">
        <w:r w:rsidDel="00000000" w:rsidR="00000000" w:rsidRPr="00000000">
          <w:rPr>
            <w:color w:val="1155cc"/>
            <w:u w:val="single"/>
            <w:rtl w:val="0"/>
          </w:rPr>
          <w:t xml:space="preserve">Blog 1</w:t>
        </w:r>
      </w:hyperlink>
      <w:r w:rsidDel="00000000" w:rsidR="00000000" w:rsidRPr="00000000">
        <w:rPr>
          <w:rtl w:val="0"/>
        </w:rPr>
        <w:t xml:space="preserve">, </w:t>
      </w:r>
      <w:hyperlink r:id="rId10">
        <w:r w:rsidDel="00000000" w:rsidR="00000000" w:rsidRPr="00000000">
          <w:rPr>
            <w:color w:val="1155cc"/>
            <w:u w:val="single"/>
            <w:rtl w:val="0"/>
          </w:rPr>
          <w:t xml:space="preserve">Blog 2</w:t>
        </w:r>
      </w:hyperlink>
      <w:r w:rsidDel="00000000" w:rsidR="00000000" w:rsidRPr="00000000">
        <w:rPr>
          <w:rtl w:val="0"/>
        </w:rPr>
        <w:t xml:space="preserve"> and </w:t>
      </w:r>
      <w:hyperlink r:id="rId11">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B">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C">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all details on Intersect’s configuration please see the </w:t>
      </w:r>
      <w:hyperlink r:id="rId12">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high level permissions are as follows:</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TRSC Fund and PSSC Modify</w:t>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TRSC Disperse</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TRSC Pause and Resume</w:t>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TRSC Sweep</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TRSC Reorganize</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D">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E">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p>
    <w:p w:rsidR="00000000" w:rsidDel="00000000" w:rsidP="00000000" w:rsidRDefault="00000000" w:rsidRPr="00000000" w14:paraId="00000055">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Unified Global Events Marketing Strategy for Cardano (PDF)</w:t>
      </w:r>
    </w:p>
    <w:p w:rsidR="00000000" w:rsidDel="00000000" w:rsidP="00000000" w:rsidRDefault="00000000" w:rsidRPr="00000000" w14:paraId="00000058">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ipfs://bafybeiem32fufh2xuznlsdsxc7nybutbv4352iqu22mzt5amdvxjsh6cbm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List of Proposed Events &amp; Budget (PDF)</w:t>
      </w:r>
    </w:p>
    <w:p w:rsidR="00000000" w:rsidDel="00000000" w:rsidP="00000000" w:rsidRDefault="00000000" w:rsidRPr="00000000" w14:paraId="0000005B">
      <w:pPr>
        <w:numPr>
          <w:ilvl w:val="0"/>
          <w:numId w:val="8"/>
        </w:numPr>
        <w:ind w:left="720" w:hanging="360"/>
      </w:pPr>
      <w:r w:rsidDel="00000000" w:rsidR="00000000" w:rsidRPr="00000000">
        <w:rPr>
          <w:rFonts w:ascii="Courier New" w:cs="Courier New" w:eastAsia="Courier New" w:hAnsi="Courier New"/>
          <w:rtl w:val="0"/>
        </w:rPr>
        <w:t xml:space="preserve">ipfs://bafkreihbmieixckirag2bb7sfqhfjpmbp4ygdujokiyphx4yus644k4nte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Project Proposal In Ekklesia</w:t>
      </w:r>
    </w:p>
    <w:p w:rsidR="00000000" w:rsidDel="00000000" w:rsidP="00000000" w:rsidRDefault="00000000" w:rsidRPr="00000000" w14:paraId="0000005E">
      <w:pPr>
        <w:numPr>
          <w:ilvl w:val="0"/>
          <w:numId w:val="8"/>
        </w:numPr>
        <w:ind w:left="720" w:hanging="360"/>
      </w:pPr>
      <w:hyperlink r:id="rId13">
        <w:r w:rsidDel="00000000" w:rsidR="00000000" w:rsidRPr="00000000">
          <w:rPr>
            <w:color w:val="1155cc"/>
            <w:u w:val="single"/>
            <w:rtl w:val="0"/>
          </w:rPr>
          <w:t xml:space="preserve">https://2025budget.intersectmbo.org/ballots/680d1b63565577986442d123/proposals/680d1b63565577986442d222</w:t>
        </w:r>
      </w:hyperlink>
      <w:r w:rsidDel="00000000" w:rsidR="00000000" w:rsidRPr="00000000">
        <w:rPr>
          <w:rtl w:val="0"/>
        </w:rPr>
        <w:t xml:space="preserve">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61">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Details of all successful proposals (CSV)</w:t>
      </w:r>
    </w:p>
    <w:p w:rsidR="00000000" w:rsidDel="00000000" w:rsidP="00000000" w:rsidRDefault="00000000" w:rsidRPr="00000000" w14:paraId="00000064">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67">
      <w:pPr>
        <w:numPr>
          <w:ilvl w:val="0"/>
          <w:numId w:val="3"/>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A">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Budget Management Smart Contracts TxPipe Audit Report</w:t>
      </w:r>
    </w:p>
    <w:p w:rsidR="00000000" w:rsidDel="00000000" w:rsidP="00000000" w:rsidRDefault="00000000" w:rsidRPr="00000000" w14:paraId="0000006D">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Budget Management Smart Contracts MLabs Audit Report</w:t>
      </w:r>
    </w:p>
    <w:p w:rsidR="00000000" w:rsidDel="00000000" w:rsidP="00000000" w:rsidRDefault="00000000" w:rsidRPr="00000000" w14:paraId="00000070">
      <w:pPr>
        <w:numPr>
          <w:ilvl w:val="0"/>
          <w:numId w:val="2"/>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71">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sectmbo.org/news/smart-contract-mainnet-demo-day-three-update" TargetMode="External"/><Relationship Id="rId10" Type="http://schemas.openxmlformats.org/officeDocument/2006/relationships/hyperlink" Target="https://www.intersectmbo.org/news/smart-contract-mainnet-demo-day-two-update" TargetMode="External"/><Relationship Id="rId13" Type="http://schemas.openxmlformats.org/officeDocument/2006/relationships/hyperlink" Target="https://2025budget.intersectmbo.org/ballots/680d1b63565577986442d123/proposals/680d1b63565577986442d222" TargetMode="External"/><Relationship Id="rId12" Type="http://schemas.openxmlformats.org/officeDocument/2006/relationships/hyperlink" Target="https://docs.intersectmbo.org/cardano-facilitation-services/cardano-budget/intersect-administration-services/smart-contracts-as-part-of-our-administ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a-step-toward-on-chain-treasury-withdrawals" TargetMode="External"/><Relationship Id="rId5" Type="http://schemas.openxmlformats.org/officeDocument/2006/relationships/styles" Target="styles.xml"/><Relationship Id="rId6" Type="http://schemas.openxmlformats.org/officeDocument/2006/relationships/hyperlink" Target="https://ucarecdn.com/601623d5-e9ef-45ec-9025-1e7cd40f824c/External2025EventsListCleanlist_14April.pdf" TargetMode="External"/><Relationship Id="rId7" Type="http://schemas.openxmlformats.org/officeDocument/2006/relationships/hyperlink" Target="https://ucarecdn.com/0830cd4a-dec8-4595-8a27-2a680788e90d/Cardano2025EventProposalUpdatedMarch.pdf" TargetMode="External"/><Relationship Id="rId8" Type="http://schemas.openxmlformats.org/officeDocument/2006/relationships/hyperlink" Target="https://github.com/SundaeSwap-finance/treasury-contracts/tree/main/offchain/t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