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b w:val="1"/>
        </w:rPr>
      </w:pPr>
      <w:bookmarkStart w:colFirst="0" w:colLast="0" w:name="_hr45zttonfx9" w:id="0"/>
      <w:bookmarkEnd w:id="0"/>
      <w:r w:rsidDel="00000000" w:rsidR="00000000" w:rsidRPr="00000000">
        <w:rPr>
          <w:rtl w:val="0"/>
        </w:rPr>
        <w:t xml:space="preserve">Treasury Withdrawal - Intersect metadata - Input Output Research (IOR): Cardano Vision - Work Program 2025</w:t>
      </w:r>
      <w:r w:rsidDel="00000000" w:rsidR="00000000" w:rsidRPr="00000000">
        <w:rPr>
          <w:rtl w:val="0"/>
        </w:rPr>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i w:val="1"/>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26,840,000</w:t>
      </w:r>
      <w:r w:rsidDel="00000000" w:rsidR="00000000" w:rsidRPr="00000000">
        <w:rPr>
          <w:rtl w:val="0"/>
        </w:rPr>
        <w:t xml:space="preserve"> for </w:t>
      </w:r>
      <w:r w:rsidDel="00000000" w:rsidR="00000000" w:rsidRPr="00000000">
        <w:rPr>
          <w:rtl w:val="0"/>
        </w:rPr>
        <w:t xml:space="preserve">Input Output Research (IOR): Cardano Vision - W</w:t>
      </w:r>
      <w:r w:rsidDel="00000000" w:rsidR="00000000" w:rsidRPr="00000000">
        <w:rPr>
          <w:rtl w:val="0"/>
        </w:rPr>
        <w:t xml:space="preserve">or…</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 </w:t>
      </w:r>
      <w:r w:rsidDel="00000000" w:rsidR="00000000" w:rsidRPr="00000000">
        <w:rPr>
          <w:b w:val="1"/>
          <w:rtl w:val="0"/>
        </w:rPr>
        <w:t xml:space="preserve">Input Output Research (IOR): Cardano Vision - Work Program 2025 </w:t>
      </w:r>
      <w:r w:rsidDel="00000000" w:rsidR="00000000" w:rsidRPr="00000000">
        <w:rPr>
          <w:rtl w:val="0"/>
        </w:rPr>
        <w:t xml:space="preserve">which will provide the following services: </w:t>
      </w:r>
    </w:p>
    <w:p w:rsidR="00000000" w:rsidDel="00000000" w:rsidP="00000000" w:rsidRDefault="00000000" w:rsidRPr="00000000" w14:paraId="00000006">
      <w:pPr>
        <w:ind w:left="0" w:firstLine="0"/>
        <w:rPr>
          <w:color w:val="020817"/>
          <w:sz w:val="21"/>
          <w:szCs w:val="21"/>
          <w:highlight w:val="white"/>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color w:val="020817"/>
          <w:highlight w:val="white"/>
          <w:rtl w:val="0"/>
        </w:rPr>
        <w:t xml:space="preserve">The IOR proposal for Work Program 2025 consists of 20 research streams and 6 technology validation streams from Cardano Vision, a five-year program consisting of 34 research streams across 9 thematic focus areas. Over a five-year period, this funnel approach is expected to generate over 100 high-quality research outputs and provide the foundation for 30 or more technology validation streams, to be implemented into Cardano’s Testnet and Mainnet by engineers and developers from the Cardano community.</w:t>
      </w:r>
      <w:r w:rsidDel="00000000" w:rsidR="00000000" w:rsidRPr="00000000">
        <w:rPr>
          <w:rtl w:val="0"/>
        </w:rPr>
      </w:r>
    </w:p>
    <w:p w:rsidR="00000000" w:rsidDel="00000000" w:rsidP="00000000" w:rsidRDefault="00000000" w:rsidRPr="00000000" w14:paraId="00000008">
      <w:pPr>
        <w:spacing w:after="40" w:lineRule="auto"/>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r w:rsidDel="00000000" w:rsidR="00000000" w:rsidRPr="00000000">
        <w:rPr>
          <w:rtl w:val="0"/>
        </w:rPr>
      </w:r>
    </w:p>
    <w:p w:rsidR="00000000" w:rsidDel="00000000" w:rsidP="00000000" w:rsidRDefault="00000000" w:rsidRPr="00000000" w14:paraId="0000000A">
      <w:pPr>
        <w:spacing w:after="40" w:lineRule="auto"/>
        <w:rPr/>
      </w:pPr>
      <w:r w:rsidDel="00000000" w:rsidR="00000000" w:rsidRPr="00000000">
        <w:rPr>
          <w:rtl w:val="0"/>
        </w:rPr>
      </w:r>
    </w:p>
    <w:p w:rsidR="00000000" w:rsidDel="00000000" w:rsidP="00000000" w:rsidRDefault="00000000" w:rsidRPr="00000000" w14:paraId="0000000B">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0C">
      <w:pPr>
        <w:spacing w:after="40" w:lineRule="auto"/>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Note: This withdrawal request has been reduced on request by the Vendor from the Budget Info Action approved </w:t>
      </w:r>
      <w:r w:rsidDel="00000000" w:rsidR="00000000" w:rsidRPr="00000000">
        <w:rPr>
          <w:rtl w:val="0"/>
        </w:rPr>
        <w:t xml:space="preserve">₳26,848,000</w:t>
      </w:r>
      <w:r w:rsidDel="00000000" w:rsidR="00000000" w:rsidRPr="00000000">
        <w:rPr>
          <w:rtl w:val="0"/>
        </w:rPr>
        <w:t xml:space="preserve"> to </w:t>
      </w:r>
      <w:r w:rsidDel="00000000" w:rsidR="00000000" w:rsidRPr="00000000">
        <w:rPr>
          <w:rtl w:val="0"/>
        </w:rPr>
        <w:t xml:space="preserve">₳</w:t>
      </w:r>
      <w:r w:rsidDel="00000000" w:rsidR="00000000" w:rsidRPr="00000000">
        <w:rPr>
          <w:rtl w:val="0"/>
        </w:rPr>
        <w:t xml:space="preserve">26,840,000</w:t>
      </w:r>
      <w:r w:rsidDel="00000000" w:rsidR="00000000" w:rsidRPr="00000000">
        <w:rPr>
          <w:rtl w:val="0"/>
        </w:rPr>
        <w:t xml:space="preserve">.</w:t>
      </w:r>
    </w:p>
    <w:p w:rsidR="00000000" w:rsidDel="00000000" w:rsidP="00000000" w:rsidRDefault="00000000" w:rsidRPr="00000000" w14:paraId="0000000E">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proposal aims to solve the following problem: </w:t>
      </w:r>
    </w:p>
    <w:p w:rsidR="00000000" w:rsidDel="00000000" w:rsidP="00000000" w:rsidRDefault="00000000" w:rsidRPr="00000000" w14:paraId="00000010">
      <w:pPr>
        <w:rPr>
          <w:color w:val="020817"/>
          <w:highlight w:val="white"/>
        </w:rPr>
      </w:pPr>
      <w:r w:rsidDel="00000000" w:rsidR="00000000" w:rsidRPr="00000000">
        <w:rPr>
          <w:rtl w:val="0"/>
        </w:rPr>
      </w:r>
    </w:p>
    <w:p w:rsidR="00000000" w:rsidDel="00000000" w:rsidP="00000000" w:rsidRDefault="00000000" w:rsidRPr="00000000" w14:paraId="00000011">
      <w:pPr>
        <w:rPr>
          <w:color w:val="020817"/>
          <w:highlight w:val="white"/>
        </w:rPr>
      </w:pPr>
      <w:r w:rsidDel="00000000" w:rsidR="00000000" w:rsidRPr="00000000">
        <w:rPr>
          <w:color w:val="020817"/>
          <w:highlight w:val="white"/>
          <w:rtl w:val="0"/>
        </w:rPr>
        <w:t xml:space="preserve">The Input Output Research (IOR) proposal aims to support research initiatives that deliver value over 3-5 years for the continued growth of the Cardano ecosystem. Building on Cardano’s robust foundation—including a proven record of 100% uptime—the proposal is guided by a Strategic Research Agenda rooted in an Evidence-Based Methodology. With a focus on scalability, sustainability, and interoperability, this approach ensures a rigorous, market readiness methodology. It covers conceptual design through to implementation, resulting in a consistent pipeline of high-quality, validated innovations that provide enduring benefit to the Cardano platform.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020817"/>
          <w:highlight w:val="white"/>
        </w:rPr>
      </w:pPr>
      <w:r w:rsidDel="00000000" w:rsidR="00000000" w:rsidRPr="00000000">
        <w:rPr>
          <w:color w:val="020817"/>
          <w:highlight w:val="white"/>
          <w:rtl w:val="0"/>
        </w:rPr>
        <w:t xml:space="preserve">Cardano Vision is an ambitious five-year research initiative spanning nine thematic focus areas, organized into structured annual work programs. Its purpose is to solidify Cardano’s position as a leader in blockchain innovation. Achieving this vision requires breakthroughs in critical technologies, including next-generation consensus protocols like Ouroboros Omega, zero-knowledge proofs, quantum-resistant cryptography, and advanced smart contract capabilities. These advancements will equip Cardano to address global challenges while upholding the highest standards of security, efficiency, and innovation.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Roboto" w:cs="Roboto" w:eastAsia="Roboto" w:hAnsi="Roboto"/>
          <w:b w:val="1"/>
          <w:i w:val="1"/>
        </w:rPr>
      </w:pPr>
      <w:r w:rsidDel="00000000" w:rsidR="00000000" w:rsidRPr="00000000">
        <w:rPr>
          <w:color w:val="020817"/>
          <w:highlight w:val="white"/>
          <w:rtl w:val="0"/>
        </w:rPr>
        <w:t xml:space="preserve">This strategic approach delivers broad impact—strengthening Cardano’s global research leadership and producing tangible outputs such as academic papers, technical recommendations, and validated prototypes. Commercializing deep technologies like Web3 cannot rely solely on market demand; it depends on sustained scientific and technical excellence. Without proactive investment, valuable opportunities may be lost. Critical infrastructure must also undergo rigorous research and validation, as flaws can compromise network security or endanger user assets. By focusing on high-potential R&amp;D areas, this initiative builds a strong foundation for innovation, accelerates time to market, and drives meaningful economic and societal outcomes.</w:t>
      </w:r>
      <w:r w:rsidDel="00000000" w:rsidR="00000000" w:rsidRPr="00000000">
        <w:rPr>
          <w:rtl w:val="0"/>
        </w:rPr>
      </w:r>
    </w:p>
    <w:p w:rsidR="00000000" w:rsidDel="00000000" w:rsidP="00000000" w:rsidRDefault="00000000" w:rsidRPr="00000000" w14:paraId="00000016">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7">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8">
      <w:pPr>
        <w:rPr>
          <w:color w:val="020817"/>
          <w:highlight w:val="white"/>
        </w:rPr>
      </w:pPr>
      <w:r w:rsidDel="00000000" w:rsidR="00000000" w:rsidRPr="00000000">
        <w:rPr>
          <w:color w:val="020817"/>
          <w:highlight w:val="white"/>
          <w:rtl w:val="0"/>
        </w:rPr>
        <w:t xml:space="preserve">Since 2017, IOR has published over 200 research papers, demonstrating its commitment to advancing blockchain science for the benefit of Cardano.</w:t>
      </w:r>
    </w:p>
    <w:p w:rsidR="00000000" w:rsidDel="00000000" w:rsidP="00000000" w:rsidRDefault="00000000" w:rsidRPr="00000000" w14:paraId="00000019">
      <w:pPr>
        <w:rPr>
          <w:color w:val="020817"/>
          <w:highlight w:val="white"/>
        </w:rPr>
      </w:pPr>
      <w:r w:rsidDel="00000000" w:rsidR="00000000" w:rsidRPr="00000000">
        <w:rPr>
          <w:rtl w:val="0"/>
        </w:rPr>
      </w:r>
    </w:p>
    <w:p w:rsidR="00000000" w:rsidDel="00000000" w:rsidP="00000000" w:rsidRDefault="00000000" w:rsidRPr="00000000" w14:paraId="0000001A">
      <w:pPr>
        <w:rPr>
          <w:color w:val="020817"/>
          <w:highlight w:val="white"/>
        </w:rPr>
      </w:pPr>
      <w:r w:rsidDel="00000000" w:rsidR="00000000" w:rsidRPr="00000000">
        <w:rPr>
          <w:color w:val="020817"/>
          <w:highlight w:val="white"/>
          <w:rtl w:val="0"/>
        </w:rPr>
        <w:t xml:space="preserve">Each year, IOR aims to generate a pipeline of at least 20 high-impact research initiatives for the Cardano ecosystem at SRL2*, supported by peer-reviewed research papers and technical reports. From this funnel, 6 of these initiatives will be validated and prioritized for implementation at SRL4/5*, reinforcing Cardano’s leadership in blockchain R&amp;D.</w:t>
      </w:r>
    </w:p>
    <w:p w:rsidR="00000000" w:rsidDel="00000000" w:rsidP="00000000" w:rsidRDefault="00000000" w:rsidRPr="00000000" w14:paraId="0000001B">
      <w:pPr>
        <w:rPr>
          <w:color w:val="020817"/>
          <w:highlight w:val="white"/>
        </w:rPr>
      </w:pPr>
      <w:r w:rsidDel="00000000" w:rsidR="00000000" w:rsidRPr="00000000">
        <w:rPr>
          <w:rtl w:val="0"/>
        </w:rPr>
      </w:r>
    </w:p>
    <w:p w:rsidR="00000000" w:rsidDel="00000000" w:rsidP="00000000" w:rsidRDefault="00000000" w:rsidRPr="00000000" w14:paraId="0000001C">
      <w:pPr>
        <w:rPr>
          <w:color w:val="020817"/>
          <w:highlight w:val="white"/>
        </w:rPr>
      </w:pPr>
      <w:r w:rsidDel="00000000" w:rsidR="00000000" w:rsidRPr="00000000">
        <w:rPr>
          <w:color w:val="020817"/>
          <w:highlight w:val="white"/>
          <w:rtl w:val="0"/>
        </w:rPr>
        <w:t xml:space="preserve">* **Fundamental Research**</w:t>
      </w:r>
    </w:p>
    <w:p w:rsidR="00000000" w:rsidDel="00000000" w:rsidP="00000000" w:rsidRDefault="00000000" w:rsidRPr="00000000" w14:paraId="0000001D">
      <w:pPr>
        <w:rPr>
          <w:color w:val="020817"/>
          <w:highlight w:val="white"/>
        </w:rPr>
      </w:pPr>
      <w:r w:rsidDel="00000000" w:rsidR="00000000" w:rsidRPr="00000000">
        <w:rPr>
          <w:color w:val="020817"/>
          <w:highlight w:val="white"/>
          <w:rtl w:val="0"/>
        </w:rPr>
        <w:t xml:space="preserve">Research outputs vary in complexity and significance, with the average paper taking at least two years to complete due to the rigorous academic peer-review process.</w:t>
      </w:r>
    </w:p>
    <w:p w:rsidR="00000000" w:rsidDel="00000000" w:rsidP="00000000" w:rsidRDefault="00000000" w:rsidRPr="00000000" w14:paraId="0000001E">
      <w:pPr>
        <w:rPr>
          <w:color w:val="020817"/>
          <w:highlight w:val="white"/>
        </w:rPr>
      </w:pPr>
      <w:r w:rsidDel="00000000" w:rsidR="00000000" w:rsidRPr="00000000">
        <w:rPr>
          <w:color w:val="020817"/>
          <w:highlight w:val="white"/>
          <w:rtl w:val="0"/>
        </w:rPr>
        <w:t xml:space="preserve">As research conferences grow increasingly competitive, underscoring the need for excellence and relevance, we remain committed to delivering at least 20 high-quality publications and technical artefacts each year.</w:t>
      </w:r>
    </w:p>
    <w:p w:rsidR="00000000" w:rsidDel="00000000" w:rsidP="00000000" w:rsidRDefault="00000000" w:rsidRPr="00000000" w14:paraId="0000001F">
      <w:pPr>
        <w:rPr>
          <w:color w:val="020817"/>
          <w:highlight w:val="white"/>
        </w:rPr>
      </w:pPr>
      <w:r w:rsidDel="00000000" w:rsidR="00000000" w:rsidRPr="00000000">
        <w:rPr>
          <w:color w:val="020817"/>
          <w:highlight w:val="white"/>
          <w:rtl w:val="0"/>
        </w:rPr>
        <w:t xml:space="preserve">To maximize visibility and impact, we are strengthening dissemination efforts across academic and Cardano-specific channels to boost citations, engagement, and impact.</w:t>
      </w:r>
    </w:p>
    <w:p w:rsidR="00000000" w:rsidDel="00000000" w:rsidP="00000000" w:rsidRDefault="00000000" w:rsidRPr="00000000" w14:paraId="00000020">
      <w:pPr>
        <w:rPr>
          <w:color w:val="020817"/>
          <w:highlight w:val="white"/>
        </w:rPr>
      </w:pPr>
      <w:r w:rsidDel="00000000" w:rsidR="00000000" w:rsidRPr="00000000">
        <w:rPr>
          <w:rtl w:val="0"/>
        </w:rPr>
      </w:r>
    </w:p>
    <w:p w:rsidR="00000000" w:rsidDel="00000000" w:rsidP="00000000" w:rsidRDefault="00000000" w:rsidRPr="00000000" w14:paraId="00000021">
      <w:pPr>
        <w:rPr>
          <w:color w:val="020817"/>
          <w:highlight w:val="white"/>
        </w:rPr>
      </w:pPr>
      <w:r w:rsidDel="00000000" w:rsidR="00000000" w:rsidRPr="00000000">
        <w:rPr>
          <w:color w:val="020817"/>
          <w:highlight w:val="white"/>
          <w:rtl w:val="0"/>
        </w:rPr>
        <w:t xml:space="preserve">* **Technology Validation**</w:t>
      </w:r>
    </w:p>
    <w:p w:rsidR="00000000" w:rsidDel="00000000" w:rsidP="00000000" w:rsidRDefault="00000000" w:rsidRPr="00000000" w14:paraId="00000022">
      <w:pPr>
        <w:rPr>
          <w:color w:val="020817"/>
          <w:highlight w:val="white"/>
        </w:rPr>
      </w:pPr>
      <w:r w:rsidDel="00000000" w:rsidR="00000000" w:rsidRPr="00000000">
        <w:rPr>
          <w:color w:val="020817"/>
          <w:highlight w:val="white"/>
          <w:rtl w:val="0"/>
        </w:rPr>
        <w:t xml:space="preserve">Technology Validation will validate 6 research initiatives annually, including technical reports, formal specifications, prototypes, simulations, Cardano Problem Statements (CPSs), and Cardano Improvement Proposals (CIPs). Prototypes and technical documentation. Please note, workstreams starting in the second half of the year will be delivered the following year.</w:t>
      </w:r>
    </w:p>
    <w:p w:rsidR="00000000" w:rsidDel="00000000" w:rsidP="00000000" w:rsidRDefault="00000000" w:rsidRPr="00000000" w14:paraId="00000023">
      <w:pPr>
        <w:rPr>
          <w:color w:val="020817"/>
          <w:highlight w:val="white"/>
        </w:rPr>
      </w:pPr>
      <w:r w:rsidDel="00000000" w:rsidR="00000000" w:rsidRPr="00000000">
        <w:rPr>
          <w:color w:val="020817"/>
          <w:highlight w:val="white"/>
          <w:rtl w:val="0"/>
        </w:rPr>
        <w:t xml:space="preserve">Technical reports provide in-depth analysis and implementation guidance, while prototypes demonstrate real-world application for product teams within the Cardano ecosystem.</w:t>
      </w:r>
    </w:p>
    <w:p w:rsidR="00000000" w:rsidDel="00000000" w:rsidP="00000000" w:rsidRDefault="00000000" w:rsidRPr="00000000" w14:paraId="00000024">
      <w:pPr>
        <w:rPr>
          <w:color w:val="020817"/>
          <w:highlight w:val="white"/>
        </w:rPr>
      </w:pPr>
      <w:r w:rsidDel="00000000" w:rsidR="00000000" w:rsidRPr="00000000">
        <w:rPr>
          <w:color w:val="020817"/>
          <w:highlight w:val="white"/>
          <w:rtl w:val="0"/>
        </w:rPr>
        <w:t xml:space="preserve">CPSs and CIPs play a key role in driving transparency, collaboration, and community-driven enhancements.</w:t>
      </w:r>
    </w:p>
    <w:p w:rsidR="00000000" w:rsidDel="00000000" w:rsidP="00000000" w:rsidRDefault="00000000" w:rsidRPr="00000000" w14:paraId="00000025">
      <w:pPr>
        <w:rPr>
          <w:color w:val="020817"/>
          <w:highlight w:val="white"/>
        </w:rPr>
      </w:pPr>
      <w:r w:rsidDel="00000000" w:rsidR="00000000" w:rsidRPr="00000000">
        <w:rPr>
          <w:rtl w:val="0"/>
        </w:rPr>
      </w:r>
    </w:p>
    <w:p w:rsidR="00000000" w:rsidDel="00000000" w:rsidP="00000000" w:rsidRDefault="00000000" w:rsidRPr="00000000" w14:paraId="00000026">
      <w:pPr>
        <w:rPr/>
      </w:pPr>
      <w:r w:rsidDel="00000000" w:rsidR="00000000" w:rsidRPr="00000000">
        <w:rPr>
          <w:color w:val="020817"/>
          <w:highlight w:val="white"/>
          <w:rtl w:val="0"/>
        </w:rPr>
        <w:t xml:space="preserve">Software Readiness Levels (SRLs) outline the lifecycle of a technology, from basic principles to commercial readiness, using an internationally accepted scale of 1-9.</w:t>
      </w:r>
      <w:r w:rsidDel="00000000" w:rsidR="00000000" w:rsidRPr="00000000">
        <w:rPr>
          <w:rtl w:val="0"/>
        </w:rPr>
      </w:r>
    </w:p>
    <w:p w:rsidR="00000000" w:rsidDel="00000000" w:rsidP="00000000" w:rsidRDefault="00000000" w:rsidRPr="00000000" w14:paraId="00000027">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28">
      <w:pPr>
        <w:rPr>
          <w:color w:val="020817"/>
          <w:highlight w:val="white"/>
        </w:rPr>
      </w:pPr>
      <w:r w:rsidDel="00000000" w:rsidR="00000000" w:rsidRPr="00000000">
        <w:rPr>
          <w:color w:val="020817"/>
          <w:highlight w:val="white"/>
          <w:rtl w:val="0"/>
        </w:rPr>
        <w:t xml:space="preserve">IOR is the leading blockchain academic group in the worldwide research community. Currently, the Input Output Research library contains over 200 peer-reviewed, published papers, involving more than 150 academics.</w:t>
      </w:r>
    </w:p>
    <w:p w:rsidR="00000000" w:rsidDel="00000000" w:rsidP="00000000" w:rsidRDefault="00000000" w:rsidRPr="00000000" w14:paraId="00000029">
      <w:pPr>
        <w:rPr>
          <w:color w:val="020817"/>
          <w:highlight w:val="white"/>
        </w:rPr>
      </w:pPr>
      <w:r w:rsidDel="00000000" w:rsidR="00000000" w:rsidRPr="00000000">
        <w:rPr>
          <w:rtl w:val="0"/>
        </w:rPr>
      </w:r>
    </w:p>
    <w:p w:rsidR="00000000" w:rsidDel="00000000" w:rsidP="00000000" w:rsidRDefault="00000000" w:rsidRPr="00000000" w14:paraId="0000002A">
      <w:pPr>
        <w:rPr>
          <w:color w:val="020817"/>
          <w:highlight w:val="white"/>
        </w:rPr>
      </w:pPr>
      <w:r w:rsidDel="00000000" w:rsidR="00000000" w:rsidRPr="00000000">
        <w:rPr>
          <w:color w:val="020817"/>
          <w:highlight w:val="white"/>
          <w:rtl w:val="0"/>
        </w:rPr>
        <w:t xml:space="preserve">Around 50 of these papers are core to Cardano’s five development phases, providing the foundational research and innovation that has helped shape Cardano into its current form. Input Output Global has also contributed to more than 40 CIPs and 6 CPSs.</w:t>
      </w:r>
    </w:p>
    <w:p w:rsidR="00000000" w:rsidDel="00000000" w:rsidP="00000000" w:rsidRDefault="00000000" w:rsidRPr="00000000" w14:paraId="0000002B">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2E">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31">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36">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3D">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3E">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high level permissions are as follows:</w:t>
      </w:r>
    </w:p>
    <w:p w:rsidR="00000000" w:rsidDel="00000000" w:rsidP="00000000" w:rsidRDefault="00000000" w:rsidRPr="00000000" w14:paraId="00000045">
      <w:pPr>
        <w:numPr>
          <w:ilvl w:val="0"/>
          <w:numId w:val="5"/>
        </w:numPr>
        <w:ind w:left="720" w:hanging="360"/>
      </w:pPr>
      <w:r w:rsidDel="00000000" w:rsidR="00000000" w:rsidRPr="00000000">
        <w:rPr>
          <w:rtl w:val="0"/>
        </w:rPr>
        <w:t xml:space="preserve">TRSC Fund and PSSC Modify</w:t>
      </w:r>
    </w:p>
    <w:p w:rsidR="00000000" w:rsidDel="00000000" w:rsidP="00000000" w:rsidRDefault="00000000" w:rsidRPr="00000000" w14:paraId="00000046">
      <w:pPr>
        <w:numPr>
          <w:ilvl w:val="1"/>
          <w:numId w:val="5"/>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47">
      <w:pPr>
        <w:numPr>
          <w:ilvl w:val="0"/>
          <w:numId w:val="5"/>
        </w:numPr>
        <w:ind w:left="720" w:hanging="360"/>
      </w:pPr>
      <w:r w:rsidDel="00000000" w:rsidR="00000000" w:rsidRPr="00000000">
        <w:rPr>
          <w:rtl w:val="0"/>
        </w:rPr>
        <w:t xml:space="preserve">TRSC Disperse</w:t>
      </w:r>
    </w:p>
    <w:p w:rsidR="00000000" w:rsidDel="00000000" w:rsidP="00000000" w:rsidRDefault="00000000" w:rsidRPr="00000000" w14:paraId="00000048">
      <w:pPr>
        <w:numPr>
          <w:ilvl w:val="1"/>
          <w:numId w:val="5"/>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49">
      <w:pPr>
        <w:numPr>
          <w:ilvl w:val="0"/>
          <w:numId w:val="5"/>
        </w:numPr>
        <w:ind w:left="720" w:hanging="360"/>
      </w:pPr>
      <w:r w:rsidDel="00000000" w:rsidR="00000000" w:rsidRPr="00000000">
        <w:rPr>
          <w:rtl w:val="0"/>
        </w:rPr>
        <w:t xml:space="preserve">TRSC Pause and Resume</w:t>
      </w:r>
    </w:p>
    <w:p w:rsidR="00000000" w:rsidDel="00000000" w:rsidP="00000000" w:rsidRDefault="00000000" w:rsidRPr="00000000" w14:paraId="0000004A">
      <w:pPr>
        <w:numPr>
          <w:ilvl w:val="1"/>
          <w:numId w:val="5"/>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4B">
      <w:pPr>
        <w:numPr>
          <w:ilvl w:val="0"/>
          <w:numId w:val="5"/>
        </w:numPr>
        <w:ind w:left="720" w:hanging="360"/>
      </w:pPr>
      <w:r w:rsidDel="00000000" w:rsidR="00000000" w:rsidRPr="00000000">
        <w:rPr>
          <w:rtl w:val="0"/>
        </w:rPr>
        <w:t xml:space="preserve">TRSC Sweep</w:t>
      </w:r>
    </w:p>
    <w:p w:rsidR="00000000" w:rsidDel="00000000" w:rsidP="00000000" w:rsidRDefault="00000000" w:rsidRPr="00000000" w14:paraId="0000004C">
      <w:pPr>
        <w:numPr>
          <w:ilvl w:val="1"/>
          <w:numId w:val="5"/>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4D">
      <w:pPr>
        <w:numPr>
          <w:ilvl w:val="0"/>
          <w:numId w:val="5"/>
        </w:numPr>
        <w:ind w:left="720" w:hanging="360"/>
      </w:pPr>
      <w:r w:rsidDel="00000000" w:rsidR="00000000" w:rsidRPr="00000000">
        <w:rPr>
          <w:rtl w:val="0"/>
        </w:rPr>
        <w:t xml:space="preserve">TRSC Reorganize</w:t>
      </w:r>
    </w:p>
    <w:p w:rsidR="00000000" w:rsidDel="00000000" w:rsidP="00000000" w:rsidRDefault="00000000" w:rsidRPr="00000000" w14:paraId="0000004E">
      <w:pPr>
        <w:numPr>
          <w:ilvl w:val="1"/>
          <w:numId w:val="5"/>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4F">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50">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57">
      <w:pPr>
        <w:pStyle w:val="Heading2"/>
        <w:spacing w:after="60" w:lineRule="auto"/>
        <w:rPr>
          <w:b w:val="1"/>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Input Output Research (IOR): Cardano Vision - Work Program 2025 Proposal v1.0 (PDF)</w:t>
      </w:r>
    </w:p>
    <w:p w:rsidR="00000000" w:rsidDel="00000000" w:rsidP="00000000" w:rsidRDefault="00000000" w:rsidRPr="00000000" w14:paraId="0000005A">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ipfs://bafybeif7iuv7k37vz4wm2ylaunuxq2fnpsqksyh4xrebdc2n4hzwwvjica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Input Output Research (IOR): Work Program 2025 - Proposed Fundamental Research Streams v1.0</w:t>
      </w:r>
    </w:p>
    <w:p w:rsidR="00000000" w:rsidDel="00000000" w:rsidP="00000000" w:rsidRDefault="00000000" w:rsidRPr="00000000" w14:paraId="0000005D">
      <w:pPr>
        <w:numPr>
          <w:ilvl w:val="0"/>
          <w:numId w:val="11"/>
        </w:numPr>
        <w:ind w:left="720" w:hanging="360"/>
        <w:rPr>
          <w:u w:val="none"/>
        </w:rPr>
      </w:pPr>
      <w:hyperlink r:id="rId11">
        <w:r w:rsidDel="00000000" w:rsidR="00000000" w:rsidRPr="00000000">
          <w:rPr>
            <w:color w:val="1155cc"/>
            <w:u w:val="single"/>
            <w:rtl w:val="0"/>
          </w:rPr>
          <w:t xml:space="preserve">https://docs.google.com/spreadsheets/d/1XtragK8dfzXbdVruo5X063ziBVd_R8Tz_05DapRt380/edit?gid=1979892956#gid=1979892956</w:t>
        </w:r>
      </w:hyperlink>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Input Output Research (IOR): Work Program 2025 - Proposed Technology Validation Streams v1.0</w:t>
      </w:r>
    </w:p>
    <w:p w:rsidR="00000000" w:rsidDel="00000000" w:rsidP="00000000" w:rsidRDefault="00000000" w:rsidRPr="00000000" w14:paraId="00000060">
      <w:pPr>
        <w:numPr>
          <w:ilvl w:val="0"/>
          <w:numId w:val="10"/>
        </w:numPr>
        <w:ind w:left="720" w:hanging="360"/>
        <w:rPr>
          <w:u w:val="none"/>
        </w:rPr>
      </w:pPr>
      <w:hyperlink r:id="rId12">
        <w:r w:rsidDel="00000000" w:rsidR="00000000" w:rsidRPr="00000000">
          <w:rPr>
            <w:color w:val="1155cc"/>
            <w:u w:val="single"/>
            <w:rtl w:val="0"/>
          </w:rPr>
          <w:t xml:space="preserve">https://docs.google.com/spreadsheets/d/1BRPJoJ0s2Q1C1uswIejYmvUNAPIcnPohrh8ITT97my0/edit?gid=0#gid=0</w:t>
        </w:r>
      </w:hyperlink>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25.04 Intersect - Product Committee - Research Working Group - Cardano Vision v1.06</w:t>
      </w:r>
    </w:p>
    <w:p w:rsidR="00000000" w:rsidDel="00000000" w:rsidP="00000000" w:rsidRDefault="00000000" w:rsidRPr="00000000" w14:paraId="00000063">
      <w:pPr>
        <w:numPr>
          <w:ilvl w:val="0"/>
          <w:numId w:val="7"/>
        </w:numPr>
        <w:ind w:left="720" w:hanging="360"/>
        <w:rPr>
          <w:u w:val="none"/>
        </w:rPr>
      </w:pPr>
      <w:hyperlink r:id="rId13">
        <w:r w:rsidDel="00000000" w:rsidR="00000000" w:rsidRPr="00000000">
          <w:rPr>
            <w:color w:val="1155cc"/>
            <w:u w:val="single"/>
            <w:rtl w:val="0"/>
          </w:rPr>
          <w:t xml:space="preserve">https://docs.google.com/presentation/d/1B2MX1BlYJu5xa6KRix2vd_inTAAQLmoVINVrIb2oYzw/edit#slide=id.g314bec4086b_0_904</w:t>
        </w:r>
      </w:hyperlink>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br w:type="textWrapping"/>
        <w:t xml:space="preserve">Project Proposal In Ekklesia</w:t>
      </w:r>
    </w:p>
    <w:p w:rsidR="00000000" w:rsidDel="00000000" w:rsidP="00000000" w:rsidRDefault="00000000" w:rsidRPr="00000000" w14:paraId="00000065">
      <w:pPr>
        <w:numPr>
          <w:ilvl w:val="0"/>
          <w:numId w:val="7"/>
        </w:numPr>
        <w:ind w:left="720" w:hanging="360"/>
      </w:pPr>
      <w:hyperlink r:id="rId14">
        <w:r w:rsidDel="00000000" w:rsidR="00000000" w:rsidRPr="00000000">
          <w:rPr>
            <w:color w:val="1155cc"/>
            <w:u w:val="single"/>
            <w:rtl w:val="0"/>
          </w:rPr>
          <w:t xml:space="preserve">https://2025budget.intersectmbo.org/ballots/680d1b63565577986442d123/proposals/680d1b63565577986442d20e</w:t>
        </w:r>
      </w:hyperlink>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68">
      <w:pPr>
        <w:numPr>
          <w:ilvl w:val="0"/>
          <w:numId w:val="6"/>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Details of all successful proposals (CSV)</w:t>
      </w:r>
    </w:p>
    <w:p w:rsidR="00000000" w:rsidDel="00000000" w:rsidP="00000000" w:rsidRDefault="00000000" w:rsidRPr="00000000" w14:paraId="0000006B">
      <w:pPr>
        <w:numPr>
          <w:ilvl w:val="0"/>
          <w:numId w:val="1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6E">
      <w:pPr>
        <w:numPr>
          <w:ilvl w:val="0"/>
          <w:numId w:val="8"/>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71">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Budget Management Smart Contracts TxPipe Audit Report</w:t>
      </w:r>
    </w:p>
    <w:p w:rsidR="00000000" w:rsidDel="00000000" w:rsidP="00000000" w:rsidRDefault="00000000" w:rsidRPr="00000000" w14:paraId="00000074">
      <w:pPr>
        <w:numPr>
          <w:ilvl w:val="0"/>
          <w:numId w:val="9"/>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Budget Management Smart Contracts MLabs Audit Report</w:t>
      </w:r>
    </w:p>
    <w:p w:rsidR="00000000" w:rsidDel="00000000" w:rsidP="00000000" w:rsidRDefault="00000000" w:rsidRPr="00000000" w14:paraId="00000077">
      <w:pPr>
        <w:numPr>
          <w:ilvl w:val="0"/>
          <w:numId w:val="2"/>
        </w:numPr>
        <w:ind w:left="720" w:hanging="360"/>
      </w:pPr>
      <w:r w:rsidDel="00000000" w:rsidR="00000000" w:rsidRPr="00000000">
        <w:rPr>
          <w:rFonts w:ascii="Courier New" w:cs="Courier New" w:eastAsia="Courier New" w:hAnsi="Courier New"/>
          <w:rtl w:val="0"/>
        </w:rPr>
        <w:t xml:space="preserve">ipfs://</w:t>
      </w:r>
      <w:r w:rsidDel="00000000" w:rsidR="00000000" w:rsidRPr="00000000">
        <w:rPr>
          <w:rtl w:val="0"/>
        </w:rPr>
      </w:r>
    </w:p>
    <w:p w:rsidR="00000000" w:rsidDel="00000000" w:rsidP="00000000" w:rsidRDefault="00000000" w:rsidRPr="00000000" w14:paraId="00000078">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Intersect</w:t>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XtragK8dfzXbdVruo5X063ziBVd_R8Tz_05DapRt380/edit?gid=1979892956#gid=1979892956"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3" Type="http://schemas.openxmlformats.org/officeDocument/2006/relationships/hyperlink" Target="https://docs.google.com/presentation/d/1B2MX1BlYJu5xa6KRix2vd_inTAAQLmoVINVrIb2oYzw/edit#slide=id.g314bec4086b_0_904" TargetMode="External"/><Relationship Id="rId12" Type="http://schemas.openxmlformats.org/officeDocument/2006/relationships/hyperlink" Target="https://docs.google.com/spreadsheets/d/1BRPJoJ0s2Q1C1uswIejYmvUNAPIcnPohrh8ITT97my0/edit?gid=0#gi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hree-update" TargetMode="External"/><Relationship Id="rId14" Type="http://schemas.openxmlformats.org/officeDocument/2006/relationships/hyperlink" Target="https://2025budget.intersectmbo.org/ballots/680d1b63565577986442d123/proposals/680d1b63565577986442d20e"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